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attīstības pamatnostādņu 2021.-2027.gadam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18.11.2024. 12.11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18.11.2024. 12.11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