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 maija noteikumos Nr. 309 "Noteikumi par koku ciršanu ārpus meža"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ciršanas atbilstību normatīvajiem aktiem izvērtē un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minētos zaudējumu aprēķina tā iestāde, kas izdod </w:t>
            </w:r>
            <w:r w:rsidR="00000000" w:rsidRPr="00000000" w:rsidDel="00000000">
              <w:rPr>
                <w:b w:val="1"/>
                <w:rtl w:val="0"/>
              </w:rPr>
              <w:t xml:space="preserve">būvatļauju</w:t>
            </w:r>
            <w:r w:rsidR="00000000" w:rsidRPr="00000000" w:rsidDel="00000000">
              <w:rPr>
                <w:rtl w:val="0"/>
              </w:rPr>
              <w:t xml:space="preserve">. Koku ciršanu atļauts uzsākt, ja būvatļaujā ir izdarīta atzīme par būvniecības uzsākšanas nosacījumu izpildi </w:t>
            </w:r>
            <w:r w:rsidR="00000000" w:rsidRPr="00000000" w:rsidDel="00000000">
              <w:rPr>
                <w:b w:val="1"/>
                <w:rtl w:val="0"/>
              </w:rPr>
              <w:t xml:space="preserve">un atlīdzināti šo noteikumu </w:t>
            </w:r>
            <w:r w:rsidR="00000000" w:rsidRPr="00000000" w:rsidDel="00000000">
              <w:rPr>
                <w:b w:val="1"/>
                <w:rtl w:val="0"/>
              </w:rPr>
              <w:t xml:space="preserve">23.</w:t>
            </w:r>
            <w:r w:rsidR="00000000" w:rsidRPr="00000000" w:rsidDel="00000000">
              <w:rPr>
                <w:rtl w:val="0"/>
              </w:rPr>
              <w:t xml:space="preserve"> </w:t>
            </w:r>
            <w:r w:rsidR="00000000" w:rsidRPr="00000000" w:rsidDel="00000000">
              <w:rPr>
                <w:b w:val="1"/>
                <w:rtl w:val="0"/>
              </w:rPr>
              <w:t xml:space="preserve">punktā</w:t>
            </w:r>
            <w:r w:rsidR="00000000" w:rsidRPr="00000000" w:rsidDel="00000000">
              <w:rPr>
                <w:b w:val="1"/>
                <w:rtl w:val="0"/>
              </w:rPr>
              <w:t xml:space="preserve"> minētie zaudējumi vai iestādīti vietā vai citā vietā citi koki, ja attiecināms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normu, ka koku ciršanas atbilstību normatīvajiem aktiem izvērtē un šo noteikumu 23. punktā minētos zaudējumus aprēķina tā iestāde, kas izdod būvatļauju. Pašvaldība pati var veidot kārtību, kas un kā izvērtē  koku ciršanas atbilstību normatīvajiem aktiem un aprēķina zaudējumus, piemēram, koku vērtēšanas komisija. Šis ir pašvaldības iekšējās darba organizācijas jautājums. Būvvalde nav tā institūcija, kas izdod pašvaldības atļaujas koku ciršanai ārpus meža zemes, kā arī aprēķina zaudējumus citos gadījumos, kad šo noteikumu kontekstā šāda atļauja ir nepieciešama. Līdz ar to rodas situācija, ka, piemērojot 7. punkta prasības, pašvaldībā būtu divas institūcijas, kas veiktu vienas un tās pašas funkcijas dažādās situācijās. Būtiskākais ir nevis tas, kas izvērtē un kas aprēķina zaudējumus, bet gan tas, ka būvvaldes izsniegtā būvatļauja vai paskaidrojumu raksta akcepts uzskatāms arī par būvniecības dokumentācijā minēto koku ciršanas atļauju, tādējādi samazinot administratīvo slogu pieteicējam.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25-TA-358</w:t>
    </w:r>
    <w:r>
      <w:br/>
    </w:r>
    <w:r w:rsidR="00000000" w:rsidRPr="00000000" w:rsidDel="00000000">
      <w:rPr>
        <w:rtl w:val="0"/>
      </w:rPr>
      <w:t xml:space="preserve">Izdrukāts 21.11.2025.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25-TA-358</w:t>
    </w:r>
    <w:r>
      <w:br/>
    </w:r>
    <w:r w:rsidR="00000000" w:rsidRPr="00000000" w:rsidDel="00000000">
      <w:rPr>
        <w:rtl w:val="0"/>
      </w:rPr>
      <w:t xml:space="preserve">Izdrukāts 21.11.2025.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Atzinumi_25-TA-358.docx</dc:title>
</cp:coreProperties>
</file>

<file path=docProps/custom.xml><?xml version="1.0" encoding="utf-8"?>
<Properties xmlns="http://schemas.openxmlformats.org/officeDocument/2006/custom-properties" xmlns:vt="http://schemas.openxmlformats.org/officeDocument/2006/docPropsVTypes"/>
</file>