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19.punktā noteikto, ka saņēmēja līdzfinansējums ir vismaz 20 %, kā arī anotācijas 3.sadaļas 6.punktā norādīto, ka kopējā indikatīvā ietekme uz valsts budžetu ir 2 500 000 euro, lūdzam precizēt anotācijas 3.sadaļas 2.1. un 3.1.apakšpunktā norādīto ietekmi uz valsts budžetu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19.punktā noteikto, ka saņēmēja līdzfinansējums ir vismaz 20 %, kā arī anotācijas 3.sadaļas 6.punktā norādīto, ka kopējā indikatīvā ietekme uz pašvaldību budžetu ir 2 500 000 </w:t>
            </w:r>
            <w:r w:rsidR="00000000" w:rsidRPr="00000000" w:rsidDel="00000000">
              <w:rPr>
                <w:i w:val="1"/>
                <w:rtl w:val="0"/>
              </w:rPr>
              <w:t xml:space="preserve">euro</w:t>
            </w:r>
            <w:r w:rsidR="00000000" w:rsidRPr="00000000" w:rsidDel="00000000">
              <w:rPr>
                <w:rtl w:val="0"/>
              </w:rPr>
              <w:t xml:space="preserve">, lūdzam precizētu anotācijas 3.sadaļas 2.3. un 3.3.apakšpunktā norādīto ietekmi uz pašvaldību budžetiem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pašvaldības dome ir pieņēmusi lēmumu par finanšu stabilizācijas pieteikuma iesniegšanu (attiecināms uz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ir sagatavojusi grozījumus Likumā par budžetu un finanšu vadību, lai pilnveidotu  pašvaldību finanšu stabilizācijas procesa uzsākšanu, atbilstoši esošajai pašvaldību situācijai pēc administratīvi teritoriālās reformas, lūdzam izteikt 16.4.punktu piedāvātajā redakcijā un 16.5.punktu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16.4.atbilstoši normatīvajos aktos noteiktajam, pašvaldībā ir uzsākts finanšu stabilizācijas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izmaksas, kas pārsniedz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minētos izmaksu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norādot, ka projektā kā neattiecināmas izmaksas ir iekļaujas tikai tādas izmaksas, kas pārsniedz šo noteikumu 24., 25. un  26. punktā minētos izmaksu ierobežojumus, bet ir tieši saistītas ar 21. punktā noteiktās aktivitātes īstenošanu un nepieciešamas projekta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25.09.2024.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25.09.2024.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