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25-TA-1409: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kritērijiem un kārtību, kādā tiek izraudzītas nevalstiskās organizācijas darbam Sabiedrības integrācijas fonda padomē, un atlīdzību Sabiedrības integrācijas fonda padomes locekļiem, kuri ir nevalstisko organizāciju pārstāvji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par 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un </w:t>
            </w:r>
            <w:r w:rsidR="00000000" w:rsidRPr="00000000" w:rsidDel="00000000">
              <w:rPr>
                <w:rtl w:val="0"/>
              </w:rPr>
              <w:t xml:space="preserve">7.5. </w:t>
            </w:r>
            <w:r w:rsidR="00000000" w:rsidRPr="00000000" w:rsidDel="00000000">
              <w:rPr>
                <w:rtl w:val="0"/>
              </w:rPr>
              <w:t xml:space="preserve">apakšpunktā</w:t>
            </w:r>
            <w:r w:rsidR="00000000" w:rsidRPr="00000000" w:rsidDel="00000000">
              <w:rPr>
                <w:rtl w:val="0"/>
              </w:rPr>
              <w:t xml:space="preserve"> minēto informāciju (ziņām) – no Pilsonības un migrācijas lietu pārvaldes;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8.3.apakšpunktā noteikts, ka, lai pārbaudītu, vai uz nevalstisko organizāciju, tās deleģēto pārstāvi vai viņa aizvietotāju, vai valdes locekļiem ir attiecināms kāds no projekta 6. un 7.punktā minētajiem nosacījumiem, Sabiedrības integrācijas fonds projekta 7.1., 7.2. un 7.5.apakšpunktā minēto informāciju (ziņas) iegūst no Pilsonības un migrācijas lietu pārvaldes.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7.1.apakšpunktā noteikts, ka par nevalstiskās organizācijas pārstāvi vai viņa aizvietotāju fonda padomē var būt fiziska persona, kura sasniegusi vismaz 18 gadu vecumu un kurai ir nevainojama reputācija.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Fizisko personu reģistrā netiek uzkrātas ziņas par personas reputāciju.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projekta 8.3.apakšpunktā ietverto atsauci uz projekta 7.1.apakšpunktu nepieciešams precizēt, norādot, ka no Pilsonības un migrācijas lietu pārvaldes saskaņā ar 7.1.apakšpunktu tiek saņemta informācija tikai par personas dzimšanas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par šo noteikumu </w:t>
            </w:r>
            <w:r w:rsidR="00000000" w:rsidRPr="00000000" w:rsidDel="00000000">
              <w:rPr>
                <w:rtl w:val="0"/>
              </w:rPr>
              <w:t xml:space="preserve">6.5.</w:t>
            </w:r>
            <w:r w:rsidR="00000000" w:rsidRPr="00000000" w:rsidDel="00000000">
              <w:rPr>
                <w:rtl w:val="0"/>
              </w:rPr>
              <w:t xml:space="preserve"> un </w:t>
            </w:r>
            <w:r w:rsidR="00000000" w:rsidRPr="00000000" w:rsidDel="00000000">
              <w:rPr>
                <w:rtl w:val="0"/>
              </w:rPr>
              <w:t xml:space="preserve">7.4. </w:t>
            </w:r>
            <w:r w:rsidR="00000000" w:rsidRPr="00000000" w:rsidDel="00000000">
              <w:rPr>
                <w:rtl w:val="0"/>
              </w:rPr>
              <w:t xml:space="preserve">apakšpunktā</w:t>
            </w:r>
            <w:r w:rsidR="00000000" w:rsidRPr="00000000" w:rsidDel="00000000">
              <w:rPr>
                <w:rtl w:val="0"/>
              </w:rPr>
              <w:t xml:space="preserve"> minētajiem faktiem – no Iekšlietu ministrijas Informācijas centra pārziņā esošās valsts informācijas sistēmas "Sodu reģistrs";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8.4.apakšpunkta izriet, ka, lai pārbaudītu, vai uz nevalstisko organizāciju, tās deleģēto pārstāvi vai viņa aizvietotāju, vai valdes locekļiem ir attiecināms kāds no projekta 6. un 7.punktā minētajiem nosacījumiem, Sabiedrības integrācijas fonds informāciju par projekta 6.5. un 7.4.apakšpunktā minētajiem faktiem iegūst no Iekšlietu ministrijas Informācijas centra pārziņā esošās valsts informācijas sistēmas “Sodu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1.3.sadaļā norādīts, ka informācija no Iekšlietu ministrijas Informācijas centra valsts informācijas sistēmas “Sodu reģistrs” tiks iegūta rakstveidā (vēstules formā), ievērojot Ministru kabineta 2014.gada 23.septembra noteikumos Nr.563 “Noteikumi par ziņu sniegšanu un saņemšanu no Sodu reģistra, valsts nodevas apmēru un izziņas noformēšanas prasībām”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pieaugot normatīvo aktu skaitam, kas satur attiecīgos kritērijus privātpersonām, attiecīgi pieaug arī ziņu pieprasītāju skaits, kā arī rakstveidā (vēstules formā) izsniegto izziņu skaits, kas rada būtisku administratīvo slogu Iekšlietu ministrijai Informācijas centram. Lai mazinātu to, nepieciešams veikt izmaiņas (uzlabojumus) Iekšlietu ministrijas Informācijas centra pārziņā esošās valsts informācijas sistēmas “Sodu reģistrs” programmatūrā, kas provizoriski varētu izmaksāt 20 000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finanšu līdzekļu un mantas izšķērdēšanas novēršanas likuma 3.panta 1.punktā noteikts, ka publiska persona, kā arī kapitālsabiedrība rīkojas ar finanšu līdzekļiem un mantu lietderīgi, tas ir – rīcībai jābūt tādai, lai mērķi sasniegtu ar mazāko finanšu līdzekļu un mantas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Publiskas personas finanšu līdzekļu un mantas izšķērdēšanas novēršanas likuma 3.panta 1.punktā izpildi, rosinām precizēt projekta redakciju un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1.3.sadaļu, paredzot, ka Sabiedrības integrācijas fonds, lai izvērtētu, vai uz personu ir attiecināmi 6.5. un 7.4.apakšpunktā noteiktie izslēgšanas kritēriji, saņem ziņas par tīšiem noziedzīgiem nodarījumiem, neatkarīgi no sodāmības dzēšanas.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25-TA-1409</w:t>
    </w:r>
    <w:r>
      <w:br/>
    </w:r>
    <w:r w:rsidR="00000000" w:rsidRPr="00000000" w:rsidDel="00000000">
      <w:rPr>
        <w:rtl w:val="0"/>
      </w:rPr>
      <w:t xml:space="preserve">Izdrukāts 05.02.2026. 18.54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25-TA-1409</w:t>
    </w:r>
    <w:r>
      <w:br/>
    </w:r>
    <w:r w:rsidR="00000000" w:rsidRPr="00000000" w:rsidDel="00000000">
      <w:rPr>
        <w:rtl w:val="0"/>
      </w:rPr>
      <w:t xml:space="preserve">Izdrukāts 05.02.2026. 18.54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Atzinumi_25-TA-1409.docx</dc:title>
</cp:coreProperties>
</file>

<file path=docProps/custom.xml><?xml version="1.0" encoding="utf-8"?>
<Properties xmlns="http://schemas.openxmlformats.org/officeDocument/2006/custom-properties" xmlns:vt="http://schemas.openxmlformats.org/officeDocument/2006/docPropsVTypes"/>
</file>