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projekta ietekmi uz horizontālo principu "Vienlīdzība, iekļaušana, nediskriminācija un pamattiesību ievērošana" (HP VINPI), norādot, ka pasākumam </w:t>
            </w:r>
            <w:r w:rsidR="00000000" w:rsidRPr="00000000" w:rsidDel="00000000">
              <w:rPr>
                <w:u w:val="single"/>
                <w:rtl w:val="0"/>
              </w:rPr>
              <w:t xml:space="preserve">nav ietekmes uz HP VINPI</w:t>
            </w:r>
            <w:r w:rsidR="00000000" w:rsidRPr="00000000" w:rsidDel="00000000">
              <w:rPr>
                <w:rtl w:val="0"/>
              </w:rPr>
              <w:t xml:space="preserve">. Informējam, ka HP VINPI vadlīniju 1.pielikumā [1] tiks veikta atbilstoša atzīme par ietekmes veida uz HP VINPI maiņu no "Netieša" uz "Nav ietekmes". Atbilstoši HP VINPI vadlīnijās noteiktajam, pasākumiem, kuriem nav ietekmes uz HP VINPI ir jāīsteno vismaz viena vispārīga HP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1.3.1.1. nav ietekmes uz horizontālo principu "Vienlīdzība, iekļaušana, nediskriminācija un pamattiesību ievērošana" (HP VINPI), jo tas ir izteikti tehnisks, vērsts uz tehnoloģiju pilnveidošanu vai nomaiņu. Pasākuma īstenošanā tiks ievēroti nediskriminācijas principi un tiks īstenota vismaz viena  vispārīgā HP VINPI darbība, kas attiecas uz izveidotā pakalpojuma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projekta vai finansējuma saņēmēja tīmekļa vietnē ir piekļūstama cilvēkiem ar funkcionēšanas ierobežojumiem, izmantojot vairākus sensoros (redze, dzirde, tauste) kanālus (https://pieklustamiba.varam.gov.lv  /, Vadlīnijas piekļūstamības izvērtējumam pieejamas šeit: https://www.varam.gov.lv/lv/wwwvaramgovlv/lv/pieklustamiba);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