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24-TA-1644: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Mobilizācijas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10.</w:t>
            </w:r>
            <w:r w:rsidR="00000000" w:rsidRPr="00000000" w:rsidDel="00000000">
              <w:rPr>
                <w:vertAlign w:val="superscript"/>
                <w:rtl w:val="0"/>
              </w:rPr>
              <w:t xml:space="preserve">2</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atbalsta Tieslietu ministrijas izteikto priekšlikumu Mobilizācijas likuma 9. panta 6.</w:t>
            </w:r>
            <w:r w:rsidR="00000000" w:rsidRPr="00000000" w:rsidDel="00000000">
              <w:rPr>
                <w:vertAlign w:val="superscript"/>
                <w:rtl w:val="0"/>
              </w:rPr>
              <w:t xml:space="preserve">1</w:t>
            </w:r>
            <w:r w:rsidR="00000000" w:rsidRPr="00000000" w:rsidDel="00000000">
              <w:rPr>
                <w:rtl w:val="0"/>
              </w:rPr>
              <w:t xml:space="preserve"> punktā papildus esošajam regulējumam kā jaunu apakšpunktu iekļaut pilnvarojumu Ministru kabinetam izdot noteikumus par pirmās nepieciešamības preču atsavināšanas kārtību un Ministru kabineta 2024. gada 26. marta noteikumos Nr.185 “Noteikumi par iedzīvotāju nodrošināšanu ar pirmās nepieciešamības precēm valsts apdraudējuma gadījumā” (turpmāk – Noteikumi Nr. 185) iekļaut nepieciešamo regulējumu, tai skaitā, aicinām izvērtēt regulējumā noteikt,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pirmās nepieciešamības preces var nodot bez atlīdzības izmantošanai Valsts materiālo rezervju likuma 3. panta pirmajā daļā noteiktajos pasākumos (tādējādi skaidri nosakot, kādos gadījumos vēl var izmantot pirmās nepieciešamības preces, kā arī, daļa no pirmās nepieciešamības preču sarakstā iekļautajiem preču veidiem ir ietverti valsts materiālo rezervju sarakstā (nomenklatūrā) un attiecīgie resursi nepieciešamības gadījumā tiek izmantoti Valsts materiālo rezervju likumā noteiktajos pasākumos). Vienlaikus nosakot, ka sabiedrība ar ierobežotu atbildību "Publisko aktīvu pārvaldītājs Possessor" pieņem lēmumu par pirmās nepieciešamības preču izsniegšanu, izņemot to izsniegšanu humānās palīdzības sniegšanai, pamatojoties uz valsts vai pašvaldības institūcijas iesniegtu pieprasījumu (līdzīgi kā tas noteikts Noteikumu Nr. 185 3.10. apakšpunktā attiecībā uz pirmās nepieciešamības preču izsniegšanu iedzīvotājiem valsts apdraudējuma gadījumā) un ka pirmās nepieciešamības preces humānai palīdzībai izsniedz atbilstoši humānās palīdzības sniegšanu reglamentējošiem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pirmās nepieciešamības preces vienu gadu pirms to derīgumu termiņa beigām atsavina, tās nododot bez atlīdzības, atbilstoši publiskas personas mantas atsavināšanu reglamentējošiem normatīvajiem aktiem. Vienlaikus nosakot, ka sociālās aprūpes iestādēm primāri tiek nodrošināta iespēja saņemt nepieciešamos resursus bez atlīdzības (kā tas minēts Ministru kabineta 2024. gada 26. marta sēdes protokollēmuma (prot.Nr.13  5.§) 8.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24-TA-1644</w:t>
    </w:r>
    <w:r>
      <w:br/>
    </w:r>
    <w:r w:rsidR="00000000" w:rsidRPr="00000000" w:rsidDel="00000000">
      <w:rPr>
        <w:rtl w:val="0"/>
      </w:rPr>
      <w:t xml:space="preserve">Izdrukāts 21.11.2024. 14.19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24-TA-1644</w:t>
    </w:r>
    <w:r>
      <w:br/>
    </w:r>
    <w:r w:rsidR="00000000" w:rsidRPr="00000000" w:rsidDel="00000000">
      <w:rPr>
        <w:rtl w:val="0"/>
      </w:rPr>
      <w:t xml:space="preserve">Izdrukāts 21.11.2024. 14.19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Atzinumi_24-TA-1644.docx</dc:title>
</cp:coreProperties>
</file>

<file path=docProps/custom.xml><?xml version="1.0" encoding="utf-8"?>
<Properties xmlns="http://schemas.openxmlformats.org/officeDocument/2006/custom-properties" xmlns:vt="http://schemas.openxmlformats.org/officeDocument/2006/docPropsVTypes"/>
</file>