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saskaņā ar Eiropas Komisijas vadlīnijām Eiropas Savienības budžeta līdzekļi ir paredzēti Eiropas Savienības tiesību aktu paredzēto noteikumu izpildei, tai skaitā Energoefektivitātes direktīvas 2023/1791 nosacījumu izpildei, kas ir tieši saistoši valsts pārvaldei bez transponēšanas. Līdz ar to Klimata un enerģētikas ministrija uztur 04.09.2024. pausto iebildumu par Plāna projektu un aicinām piemērot šo nosacījumu Plāna projekta nākamajām kārtām - "Klimata un enerģētikas ministrija norāda, ka saskaņā ar Direktīvas 2023/1791 6.pantu dalībvalstīm jānodrošina, ka ik gadu tiek renovēts vismaz 3% no publiskajām struktūrām piederošo ēku grīdas platības, panākot, ka pēc renovācijas tās atbilst vai nu gandrīz nulles enerģijas ēku prasībām vai arī gandrīz nulles emisiju ēku prasībām. Šis mērķis attiecas uz visām apkurināmām publiskajām struktūrām piederošām ēkām, tostarp uz pašvaldībām piederošo sociālo dzīvojamo fondu. Lūdzam plānā aprakstīt un ņemt vērā šo aspektu, paredzot, ka ēkas atbildīs noteiktajām prasībām. Lūdzam noteiktās prasības attiecināt vismaz uz 1.5. uzdevumu un pēc iespējas arī uz citiem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izprot Ekonomikas ministrijas sniegto skaidrojumu par aprēķinu veikšanu attiecībā uz to mājsaimniecību īpatsvaru, kurām ir grūtības segt izmaksas par mājokli. Tomēr, ņemot vērā aprēķinu ietvaros iegūto rezultātu, un, balstoties uz ekonomisko situāciju valstī kopumā, Klimata un enerģētikas ministrija nevar piekrist, ka to mājsaimniecību īpatsvars Latvijā, kurām ir grūtības segt izdevumu par mājokli, pārsniedz 70%. Ņemot vērā minēto, aicinām Ekonomikas ministriju pārskatīt Mājokļu pieejamības pamatnostādnēs 2023. - 2027. gadam ietvertos rādītājus un to vērtības, tostarp aprēķinus, uz kā pamata attiecīgās vērtības tiek iegūtas.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Šnitko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19.09.2024.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19.09.2024.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