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17.pantam, kas papildina Enerģētikas likumu ar X</w:t>
            </w:r>
            <w:r w:rsidR="00000000" w:rsidRPr="00000000" w:rsidDel="00000000">
              <w:rPr>
                <w:vertAlign w:val="superscript"/>
                <w:rtl w:val="0"/>
              </w:rPr>
              <w:t xml:space="preserve">1</w:t>
            </w:r>
            <w:r w:rsidR="00000000" w:rsidRPr="00000000" w:rsidDel="00000000">
              <w:rPr>
                <w:rtl w:val="0"/>
              </w:rPr>
              <w:t xml:space="preserve"> nodaļu un attiecīgi ar 58.</w:t>
            </w:r>
            <w:r w:rsidR="00000000" w:rsidRPr="00000000" w:rsidDel="00000000">
              <w:rPr>
                <w:vertAlign w:val="superscript"/>
                <w:rtl w:val="0"/>
              </w:rPr>
              <w:t xml:space="preserve">4</w:t>
            </w:r>
            <w:r w:rsidR="00000000" w:rsidRPr="00000000" w:rsidDel="00000000">
              <w:rPr>
                <w:rtl w:val="0"/>
              </w:rPr>
              <w:t xml:space="preserve"> pantu, kurā ir noteikts, ka biomasas kurināmajam ir jāatbilst ilgtspējas kritērijiem un siltumnīcefekta gāzu emisijas ietaupījuma kritērijiem, ja to izmanto elektroenerģijas, siltumenerģijas, aukstumenerģijas ražošanas iekārtā vai degvielu ražošanas iekārtā, kuras kopējā nominālā ievadītā siltuma jauda, summējot visu stacionāro tehnoloģisko sadedzināšanas iekārtu jaudu, ir 20 megavati (MW) vai lielāka cietā biomasas kurināmā gadījumā. Lūdzam likumprojekta anotācijā paskaidrot, kāpēc ir noteikts tik augsts cietās biomasas sadedzināšanas iekārtu ievadītā siltuma jaudas kritērijs, ja šobrīd citos </w:t>
            </w:r>
            <w:r w:rsidR="00000000" w:rsidRPr="00000000" w:rsidDel="00000000">
              <w:rPr>
                <w:i w:val="1"/>
                <w:rtl w:val="0"/>
              </w:rPr>
              <w:t xml:space="preserve">Fit for 55</w:t>
            </w:r>
            <w:r w:rsidR="00000000" w:rsidRPr="00000000" w:rsidDel="00000000">
              <w:rPr>
                <w:rtl w:val="0"/>
              </w:rPr>
              <w:t xml:space="preserve"> likumdošanas pakotnes projektos, piemēram, priekšlikumā par Enerģijas nodokļu direktīvas (2003/96/EK) pārskatīšanu attiecībā uz koksnes produktiem, kuriem piemērotu nodokli, atsauces kritērijs ir noteikts 10 megavati (MW).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28.pantā, kurš paredz papildināt Enerģētikas likumu ar 122.pantu, minētā panta 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27.pantu, kas paredz izteikt Enerģētikas likuma 117.</w:t>
            </w:r>
            <w:r w:rsidR="00000000" w:rsidRPr="00000000" w:rsidDel="00000000">
              <w:rPr>
                <w:vertAlign w:val="superscript"/>
                <w:rtl w:val="0"/>
              </w:rPr>
              <w:t xml:space="preserve">3</w:t>
            </w:r>
            <w:r w:rsidR="00000000" w:rsidRPr="00000000" w:rsidDel="00000000">
              <w:rPr>
                <w:rtl w:val="0"/>
              </w:rPr>
              <w:t xml:space="preserve"> panta trešo daļu jaunā redakcijā. Vēlamies norādīt, ka šobrīd spēkā esošajā minētā likuma 117.</w:t>
            </w:r>
            <w:r w:rsidR="00000000" w:rsidRPr="00000000" w:rsidDel="00000000">
              <w:rPr>
                <w:vertAlign w:val="superscript"/>
                <w:rtl w:val="0"/>
              </w:rPr>
              <w:t xml:space="preserve">3</w:t>
            </w:r>
            <w:r w:rsidR="00000000" w:rsidRPr="00000000" w:rsidDel="00000000">
              <w:rPr>
                <w:rtl w:val="0"/>
              </w:rPr>
              <w:t xml:space="preserve"> panta redakcijā nav trešās daļas. Ņemot vērā likumprojekta 27.panta ietverto regulējumu, domājams, ka jaunā redakcijā tiek izteikta likuma 117.</w:t>
            </w:r>
            <w:r w:rsidR="00000000" w:rsidRPr="00000000" w:rsidDel="00000000">
              <w:rPr>
                <w:vertAlign w:val="superscript"/>
                <w:rtl w:val="0"/>
              </w:rPr>
              <w:t xml:space="preserve">3</w:t>
            </w:r>
            <w:r w:rsidR="00000000" w:rsidRPr="00000000" w:rsidDel="00000000">
              <w:rPr>
                <w:rtl w:val="0"/>
              </w:rPr>
              <w:t xml:space="preserve">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III sadaļas 8.punktā “Cita informācija”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pirmā punkta otro rindkopu, paredzot, ka gadījumā, ja programma ir efektīva, tad finansējums pēc 2025.gada tiks nodrošināts, Klimata un enerģētikas ministrijai sagatavojot </w:t>
            </w:r>
            <w:r w:rsidR="00000000" w:rsidRPr="00000000" w:rsidDel="00000000">
              <w:rPr>
                <w:u w:val="single"/>
                <w:rtl w:val="0"/>
              </w:rPr>
              <w:t xml:space="preserve">fiskāli neitrālu priekšlikumu</w:t>
            </w:r>
            <w:r w:rsidR="00000000" w:rsidRPr="00000000" w:rsidDel="00000000">
              <w:rPr>
                <w:rtl w:val="0"/>
              </w:rPr>
              <w:t xml:space="preserve"> vai no Klimata un enerģētikas ministrijas apakšprogrammas 33.01.00 "Emisijas kvotu izsolīšanas instrumenta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otro punktu ar skaidrojumu kāda IKT risinājuma izstrāde ir paredzēta un kuras ministrijas budžeta ietvaros tiks nodrošināta konkrētā risinājuma izveide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trešo punktu, norādot, ka Būvniecības valsts kontroles birojs vienotā kontaktpunkta funkcijas īstenošanu nodrošinās esošā valsts budžeta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21.08.2023. 19.43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21.08.2023. 19.43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