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25-TA-976: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2014. gada 17. jūnija noteikumos Nr. 331 "Elektrisko un elektronisko iekārtu un bateriju vai akumulatoru ražotāju reģistrācijas kārtība un samaksas kārtība par datu uzturēšanu"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01.09.2025.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5.4. sadaļas 1. tabulas ierakstu attiecībā uz Regulu 2015/1542, skaidrojot tās 56. panta piemērošanu attiecībā uz ražotāja paplašinātu atbildību un nepieciešamību iecelt pilnvarotu pārstāvi (skat., piemēram, Regulu 2015/1542 56. panta 3.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29. punktā noteikts, ka bateriju ražotājs vai tā pārstāvis </w:t>
            </w:r>
            <w:r w:rsidR="00000000" w:rsidRPr="00000000" w:rsidDel="00000000">
              <w:rPr>
                <w:u w:val="single"/>
                <w:rtl w:val="0"/>
              </w:rPr>
              <w:t xml:space="preserve">10 darba dienu laikā i</w:t>
            </w:r>
            <w:r w:rsidR="00000000" w:rsidRPr="00000000" w:rsidDel="00000000">
              <w:rPr>
                <w:rtl w:val="0"/>
              </w:rPr>
              <w:t xml:space="preserve">nformē reģistrētāju par nepieciešamajām izmaiņām reģistrā. Anotācijas 5.4. sadaļas 1. tabulā norādīts, ka šis projekta punkts ievieš </w:t>
            </w:r>
            <w:r w:rsidR="00000000" w:rsidRPr="00000000" w:rsidDel="00000000">
              <w:rPr>
                <w:i w:val="1"/>
                <w:rtl w:val="0"/>
              </w:rPr>
              <w:t xml:space="preserve">Eiropas Parlamenta un Padomes 2023. gada 12. jūlija Regulas (ES) 2023/1542 par baterijām un bateriju atkritumiem, ar ko groza Direktīvu 2008/98/EK un Regulu (ES) 2019/1020 un atceļ Direktīvu 2006/66/EK,</w:t>
            </w:r>
            <w:r w:rsidR="00000000" w:rsidRPr="00000000" w:rsidDel="00000000">
              <w:rPr>
                <w:rtl w:val="0"/>
              </w:rPr>
              <w:t xml:space="preserve"> (turpmāk - Regula 2023/1542) 55. panta 12. punktu, </w:t>
            </w:r>
            <w:r w:rsidR="00000000" w:rsidRPr="00000000" w:rsidDel="00000000">
              <w:rPr>
                <w:u w:val="single"/>
                <w:rtl w:val="0"/>
              </w:rPr>
              <w:t xml:space="preserve">nenosakot stingrākas prasības</w:t>
            </w:r>
            <w:r w:rsidR="00000000" w:rsidRPr="00000000" w:rsidDel="00000000">
              <w:rPr>
                <w:rtl w:val="0"/>
              </w:rPr>
              <w:t xml:space="preserve">. Norādām, ka Regulas 2013/1542 55. panta 12. punktā noteikts, ka par attiecīgajām izmaiņām jāziņo "</w:t>
            </w:r>
            <w:r w:rsidR="00000000" w:rsidRPr="00000000" w:rsidDel="00000000">
              <w:rPr>
                <w:u w:val="single"/>
                <w:rtl w:val="0"/>
              </w:rPr>
              <w:t xml:space="preserve">bez liekas kavēšanās</w:t>
            </w:r>
            <w:r w:rsidR="00000000" w:rsidRPr="00000000" w:rsidDel="00000000">
              <w:rPr>
                <w:rtl w:val="0"/>
              </w:rPr>
              <w:t xml:space="preserve">", nevis </w:t>
            </w:r>
            <w:r w:rsidR="00000000" w:rsidRPr="00000000" w:rsidDel="00000000">
              <w:rPr>
                <w:u w:val="single"/>
                <w:rtl w:val="0"/>
              </w:rPr>
              <w:t xml:space="preserve">10 darba dienu laikā</w:t>
            </w:r>
            <w:r w:rsidR="00000000" w:rsidRPr="00000000" w:rsidDel="00000000">
              <w:rPr>
                <w:rtl w:val="0"/>
              </w:rPr>
              <w:t xml:space="preserve"> (skat. arī noteikumu projekta 30. punktu). Aicinām precizēt anotācijas 5.4. sadaļas 1. tabulas ierakstu attiecībā uz Regulas 2013/1542 55. panta 12. punktā noteikto, tostarp, papildinot prasību ievērošanas atsauci uz projekta 30.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anotācijas 5.4. sadaļas 1. tabulas ierakstu attiecībā uz </w:t>
            </w:r>
            <w:r w:rsidR="00000000" w:rsidRPr="00000000" w:rsidDel="00000000">
              <w:rPr>
                <w:i w:val="1"/>
                <w:rtl w:val="0"/>
              </w:rPr>
              <w:t xml:space="preserve">Eiropas Parlamenta un Padomes 2012. gada 4. jūlija Direktīvas 2012/19/ES par elektrisko un elektronisko iekārtu atkritumiem (EEIA) (pārstrādāta versija)</w:t>
            </w:r>
            <w:r w:rsidR="00000000" w:rsidRPr="00000000" w:rsidDel="00000000">
              <w:rPr>
                <w:rtl w:val="0"/>
              </w:rPr>
              <w:t xml:space="preserve"> 17. panta 1. punkta un 17. panta 2. punkta prasību pārņemšanu.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Elektrisko un elektronisko iekārtu un bateriju ražotāju reģistrācijas kārtība un samaksas kārtība par datu uzturēšanu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punktā paredzēto grozījumu Ministru kabineta 2014. gada 17. jūnija noteikumu Nr.331 “Elektrisko un elektronisko iekārtu un bateriju vai akumulatoru ražotāju reģistrācijas kārtība un samaksas kārtība par datu uzturēšanu” (turpmāk – noteikumi) nosaukumā piedāvājam izvērtēt un šādu grozījumu neveikt, jo atbilstoši Ministru kabineta 2009. gada 3. februāra noteikumu Nr.108 “Normatīvo aktu projektu sagatavošanas noteikumi” (turpmāk – noteikumi Nr.108) 90. un 91. punktam Ministru kabineta noteikumu nosaukumu veido iespējami īsu un atbilstošu likumā noteiktajam pilnvarojumam Ministru kabinetam un no vārdiem, kas atklāj noteikumu saturu. Vēršam uzmanību, ka vārds “akumulators” tiek izmantots visā Atkritumu apsaimniekošanas likumā (turpmāk – likums), turklāt likuma 30. panta pirmajā daļā ir sniegts bateriju un akumulatoru atšķirīgs skaidrojums. Savukārt noteikumu 1.3. apakšpunktā paredzētais saīsinājums “bateriju ražotājs” tāpat kā šobrīd būs attiecināms uz noteikumu turpmāko tekstu, nevis nosaukumu. Papildus norādām, ka projekta anotācijā netiek sniegts šāda grozījuma nepieciešamības skaidrojums. Ievērojot minēto, noteikumu nosaukumā nav vēlams atteikties no vārda “akumulators”, proti, piedāvājam paredzēto grozījumu neveikt. Ja tiek plānots atteikties no vārda “akumulators” izmantošanas normatīvajos aktos un turpmāk atbilstoši Eiropas Parlamenta un Padomes 2023. gada 12. jūlija Regulas (ES) 2023/1542 par baterijām un bateriju atkritumiem, ar ko groza Direktīvu 2008/98/EK un Regulu (ES) 2019/1020 un atceļ Direktīvu 2006/66/EK, (turpmāk – regula Nr.2023/1542) 3. panta 1. daļas 1. punktā noteiktajai definīcijai visu enerģijas avotu apzīmēšanai izmantot vārdu “baterijas”, vispirms atbilstoši grozījumi jāveic likumā.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bateriju un akumulatoru ražotāju (turpmāk – bateriju ražotājs) un to pilnvaroto pārstāvju reģistrācijas kārtību;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paredzēto grozījumu noteikumu 1.3. apakšpunktā nepieciešams izvērtēt un šādu grozījumu piedāvājam neveikt, jo atbilstoši noteikumu Nr.108 100.2. apakšpunktam Ministru kabineta noteikumu 1. punktā raksta likumā noteikto pilnvarojumu. Vēršam uzmanību, ka likuma regulējums bateriju ražotāja pilnvarotā pārstāvja reģistrāciju neparedz, bet regulas Nr.2023/1542 55. pantā noteikto regulējumu par pilnvarotā pārstāvja reģistrāciju piedāvājam iekļaut noteikumu turpmākajā tekstā ar regulas Nr.2023/1542 normu ārējām atsaucēm.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Bateriju ražotājus un to pilnvarotos pārstāvjus reģistrē bateriju ražotāju reģistrā. Bateriju ražotāju reģistrs ir valsts informācijas sistēmas – iekārtu ražotāju reģistra – sastāvdaļa. Bateriju ražotāju reģistra izmantošana nodrošina bateriju atkritumu apsaimniekošanas uzraudzībai nepieciešamās informācijas apriti. Bateriju ražotāju reģistra turētājs ir reģistrētājs. Bateriju ražotājus reģistrē atbilstoši </w:t>
            </w:r>
            <w:r w:rsidR="00000000" w:rsidRPr="00000000" w:rsidDel="00000000">
              <w:rPr>
                <w:rtl w:val="0"/>
              </w:rPr>
              <w:t xml:space="preserve">Eiropas Parlamenta un Padomes 2023.</w:t>
            </w:r>
            <w:r w:rsidR="00000000" w:rsidRPr="00000000" w:rsidDel="00000000">
              <w:rPr>
                <w:rtl w:val="0"/>
              </w:rPr>
              <w:t xml:space="preserve"> </w:t>
            </w:r>
            <w:r w:rsidR="00000000" w:rsidRPr="00000000" w:rsidDel="00000000">
              <w:rPr>
                <w:rtl w:val="0"/>
              </w:rPr>
              <w:t xml:space="preserve">gada 12.</w:t>
            </w:r>
            <w:r w:rsidR="00000000" w:rsidRPr="00000000" w:rsidDel="00000000">
              <w:rPr>
                <w:rtl w:val="0"/>
              </w:rPr>
              <w:t xml:space="preserve"> </w:t>
            </w:r>
            <w:r w:rsidR="00000000" w:rsidRPr="00000000" w:rsidDel="00000000">
              <w:rPr>
                <w:rtl w:val="0"/>
              </w:rPr>
              <w:t xml:space="preserve">jūlija Regulas 2023/1542/</w:t>
            </w:r>
            <w:r w:rsidR="00000000" w:rsidRPr="00000000" w:rsidDel="00000000">
              <w:rPr>
                <w:rtl w:val="0"/>
              </w:rPr>
              <w:t xml:space="preserve">ES</w:t>
            </w:r>
            <w:r w:rsidR="00000000" w:rsidRPr="00000000" w:rsidDel="00000000">
              <w:rPr>
                <w:rtl w:val="0"/>
              </w:rPr>
              <w:t xml:space="preserve"> par baterijām un bateriju atkritumiem, ar ko groza Direktīvu 2008/98/EK un Regulu (ES) 2019/1020 un atceļ Direktīvu 2006/66/EK, (turpmāk – Bateriju regula) 55.pantā</w:t>
            </w:r>
            <w:r w:rsidR="00000000" w:rsidRPr="00000000" w:rsidDel="00000000">
              <w:rPr>
                <w:rtl w:val="0"/>
              </w:rPr>
              <w:t xml:space="preserve"> noteiktajai kārtībai.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punktā paredzēto grozījumu noteikumu 3. punktā piedāvājam izvērtēt un precizēt, jo šajā punktā un turpmāk projektā nepamatoti tiek izmantots vārdu savienojums “bateriju atkritumi”. Noteikumos šobrīd atbilstoši likumā noteiktajam tiek paredzēts vārdu savienojums “bateriju un akumulatoru atkritumi”. Vēršam uzmanību, ka šobrīd projektā vārdiem “baterijas un akumulatori” nav paredzēts vienots saīsinājums “baterijas”, tādēļ var veidoties situācija, ka noteikumi netiks attiecināti uz “akumulatoru atkritumiem” vai citos gadījumos, kas šobrīd noteikumos paredz apzīmējumu “baterijas un akumulatori”. Vienlaikus piedāvājam izvērtēt un šo normu redakcionāli precizēt, proti, kā atsevišķu prim punktu veidot ārējo atsauci par regulas Nr.2023/1542 piemērošanu bateriju ražotāju pilnvaroto pārstāvju reģistrācijai, tādējādi nodalot bateriju ražotāju un viņu pilnvaroto pārstāvju regulējumu. Šāda tiesiskā regulējuma nodalīšana ļaus noteikumos vieglāk veidot iekšējās atsauces, ja tādas būs nepieciešamas.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Reģistrētājs reģistrē iekārtu ražotājus vai to pilnvarotos pārstāvjus, un bateriju ražotājus vai to pilnvarotos pārstāvjus, pamatojoties uz deleģēšanas līgumu, kas noslēgts ar ministriju.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7. punktā paredzēto noteikumu 5. punktu nepieciešams precizēt vai šo noteikumu punktu svītrot. Vēršam uzmanību, ka noteikumu 4. punkts reģistrētājam paredz administratīvā akta izdošanu. Tādējādi noteikumu 2. punktā paredzētā reģistrētāja kā privātpersonas padotība un kompetence deleģētā valsts pārvaldes uzdevuma izpildē ir jānosaka atbilstoši Valsts pārvaldes iekārtas likuma 41. panta trešās daļas 1. punktam un 43. panta pirmajai daļai, proti, ar ārējo normatīvo aktu, nevis līgumu, jo administratīvo aktu izdošana nevar notikt saskaņā ar līgumisko deleģēšanu. Papildus norādām, ka noteikumos reģistrētājam ir paredzēta dažāda veida faktiskā rīcība un arī to privātpersonai atbilstoši Administratīvā procesa likuma 7. nodaļā noteiktajam būs tiesības apstrīdēt, tādēļ piedāvājam precizēt noteikumu 35.punktu, paredzot, ka apstrīdēt var arī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Reģistrētājs 10 darbdienu laikā pēc iesnieguma saņemšanas vai šo noteikumu </w:t>
            </w:r>
            <w:r w:rsidR="00000000" w:rsidRPr="00000000" w:rsidDel="00000000">
              <w:rPr>
                <w:rtl w:val="0"/>
              </w:rPr>
              <w:t xml:space="preserve">11.</w:t>
            </w:r>
            <w:r w:rsidR="00000000" w:rsidRPr="00000000" w:rsidDel="00000000">
              <w:rPr>
                <w:rtl w:val="0"/>
              </w:rPr>
              <w:t xml:space="preserve"> punktā minētās informācijas vai dokumentu saņemšanas pieņem lēmumu par iekārtu ražotāja vai tā pilnvarotā pārstāvja reģistrāciju, piešķirot tam reģistrācijas numuru, vai par atteikumu reģistrēt iekārtu ražotāju vai tā pilnvaroto pārstāvi, 10 darbdienu laikā par to paziņojot attiecīgajam iekārtu ražotājam vai tā pilnvarotajam pārstāvim.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12. punktā paredzēto noteikumu 13. punktu, kā arī projekta 25. punktā paredzēto noteikumu 27. punktu nepieciešams precizēt vai šādus grozījumus neveikt. Vēršam uzmanību, ka iesnieguma izskatīšana un lēmuma pieņemšana būs administratīvais process iestādē, kā rezultātā tiks izdots administratīvais akts. Tādējādi pieņemtā lēmuma paziņošanai ir jānotiek Paziņošanas likumā noteiktajā kārtībā un termiņā. Tieslietu ministrija atbalsta saīsinātus (mazāk kā 1 mēnesis) termiņus administratīvā akta izdošanai, bet 10 dienas lēmuma paziņošanai ir nesamērīgi liels termiņš. Šobrīd noteikumi lēmuma pieņemšanai paredz 5 darba dienas, bet paziņošanai 3 darba dienas. Projekta anotācijā pamatota informācija par minētajām normām un to grozījumiem, kas paredz palielināt šobrīd noteiktos termiņus, netiek sniegta, jo administratīvo aktu izdošana un lēmumu paziņošana nav “informācijas aprite”.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Ja iekārtu ražotājs vai tā pilnvarotais pārstāvis pārtrauc Atkritumu apsaimniekošanas likumā noteiktās darbības ar elektriskajām un elektroniskajām iekārtām, iekārtu ražotājs, tā pilnvarotais pārstāvis, iekārtu ražotāja administrators vai likvidators vai iekārtu ražotāja pilnvarotā pārstāvja administrators vai likvidators par to rakstiski paziņo reģistrētājam 10 darbdienu laikā no darbību pārtraukšanas dienas, iesniedzot iesniegumu par iekārtu ražotāja vai tā pilnvarotā pārstāvja izslēgšanu no iekārtu ražotāju reģistra (</w:t>
            </w:r>
            <w:r w:rsidR="00000000" w:rsidRPr="00000000" w:rsidDel="00000000">
              <w:rPr>
                <w:rtl w:val="0"/>
              </w:rPr>
              <w:t xml:space="preserve">2.</w:t>
            </w:r>
            <w:r w:rsidR="00000000" w:rsidRPr="00000000" w:rsidDel="00000000">
              <w:rPr>
                <w:rtl w:val="0"/>
              </w:rPr>
              <w:t xml:space="preserve"> pielikums</w:t>
            </w:r>
            <w:r w:rsidR="00000000" w:rsidRPr="00000000" w:rsidDel="00000000">
              <w:rPr>
                <w:rtl w:val="0"/>
              </w:rPr>
              <w:t xml:space="preserve">). Ārvalstu ražotāja pilnvaroto pārstāvi izslēdz no ražotāju reģistra arī tad, ja ārvalstu ražotājs ir rakstiski informējis reģistrētāju par to, ka ārvalstu iekārtu ražotājs ir atsaucis pilnvarojumu. Ja minētās personas šādu informāciju nesniedz, reģistrētājs ir tiesīgs izmantot publiski pieejamo no citām valsts nozīmes informācijas sistēmām saņemto informāciju. Šajā punktā minētajos gadījumos reģistrētājs 10 darbdienu laikā pēc informācijas saņemšanas pieņem lēmumu par iekārtu ražotāja vai tā pilnvarotā pārstāvja izslēgšanu no iekārtu ražotāju reģistra un paziņo to attiecīgajam iekārtu ražotājam, iekārtu ražotāja pilnvarotajam pārstāvim, iekārtu ražotāja administratoram vai likvidatoram vai iekārtu ražotāja pilnvarotā pārstāvja administratoram vai likvidatoram.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projekta 14., 30., un 52. punktā lietotais termins "administrators" (iekārtu ražotāja administrators, iekārtu ražotāja pilnvarotā pārstāvja administrators, bateriju ražotāja administrators) nav saprotams. Ja ar terminu "administrators" ir domāts "maksātnespējas procesa administrators", kā tas apzīmēts Maksātnespējas likumā, tad tiesiskās skaidrības nodrošināšanai lūdzam visā projekta tekstā lietot pilno Maksātnespējas likumā lietoto terminu "maksātnespējas procesa administrators" vai korekti definēt šī termina saīsinājumu.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Arnis Sedliņš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40. Ikgadējo maksu par datu uzturēšanu reģistrā iekārtu ražotājs, tā pilnvarotais pārstāvis,  bateriju ražotājs vai tā pilnvarotais pārstāvis samaksā līdz kārtējā kalendāra gada 28.februārim, pamatojoties uz elektroniski saņemto rēķinu, ko reģistrētājs nosūta iekārtu ražotājam, tā pilnvarotajam pārstāvim, bateriju ražotājam vai tā pilnvarotajam pārstāvim līdz kārtējā kalendāra gada 1. februārim.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43. punktā paredzēto noteikumu 40. punktu nepieciešams redakcionāli precizēt atbilstoši šobrīd spēkā esošajai normas redakcijai. Vēršam uzmanību, ka reģistrācijas un datu uzturēšanas maksa atbilstoši noteikumu 37.punktam ir tikai iekārtu ražotājam, nevis tā pārstāvim, tādēļ maksātājs būs iekārtu ražotājs vai tā pārstāvis. Vienlaikus nepieciešams precizēt projekta 44. punktā paredzēto noteikumu 41.3 apakšpunktu, jo iekārtu ražotāja vai bateriju ražotāja pārstāvis pārstāv ražotāju un viņiem nevajadzētu būt patstāvīgām prasījuma tiesībām par iepriekš veikto maksājumu.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Eiropas Parlamenta un Padomes 2006. gada 6. septembra Direktīvas </w:t>
            </w:r>
            <w:r w:rsidR="00000000" w:rsidRPr="00000000" w:rsidDel="00000000">
              <w:rPr>
                <w:rtl w:val="0"/>
              </w:rPr>
              <w:t xml:space="preserve">2006/66/EK</w:t>
            </w:r>
            <w:r w:rsidR="00000000" w:rsidRPr="00000000" w:rsidDel="00000000">
              <w:rPr>
                <w:rtl w:val="0"/>
              </w:rPr>
              <w:t xml:space="preserve"> par baterijām un akumulatoriem, un bateriju un akumulatoru atkritumiem un ar ko atceļ Direktīvu </w:t>
            </w:r>
            <w:r w:rsidR="00000000" w:rsidRPr="00000000" w:rsidDel="00000000">
              <w:rPr>
                <w:rtl w:val="0"/>
              </w:rPr>
              <w:t xml:space="preserve">91/157/EEK</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Regulas 2015/1542 95. pantu </w:t>
            </w:r>
            <w:r w:rsidR="00000000" w:rsidRPr="00000000" w:rsidDel="00000000">
              <w:rPr>
                <w:i w:val="1"/>
                <w:rtl w:val="0"/>
              </w:rPr>
              <w:t xml:space="preserve">Eiropas Parlamenta un Padomes 2006. gada 6. septembra Direktīva 2006/66/EK par baterijām un akumulatoriem, un bateriju un akumulatoru atkritumiem un ar ko atceļ Direktīvu 91/157/EEK </w:t>
            </w:r>
            <w:r w:rsidR="00000000" w:rsidRPr="00000000" w:rsidDel="00000000">
              <w:rPr>
                <w:rtl w:val="0"/>
              </w:rPr>
              <w:t xml:space="preserve">(turpmāk - Direktīva 2006/66/EK)</w:t>
            </w:r>
            <w:r w:rsidR="00000000" w:rsidRPr="00000000" w:rsidDel="00000000">
              <w:rPr>
                <w:i w:val="1"/>
                <w:rtl w:val="0"/>
              </w:rPr>
              <w:t xml:space="preserve"> </w:t>
            </w:r>
            <w:r w:rsidR="00000000" w:rsidRPr="00000000" w:rsidDel="00000000">
              <w:rPr>
                <w:rtl w:val="0"/>
              </w:rPr>
              <w:t xml:space="preserve">ir spēkā līdz 2025. gada 18. augustam, izņemot tās attiecīgos pantus (skat. norādi anotācijas 3. lappusē). Aicinām skaidrot, vai uz projektu attiecas šie panti, kuriem ir noteikts piemērošanas termiņa izņēmums. Ja tie nav attiecināmi, aicinām projekta sadaļā "Informatīva atsauce uz Eiropas Savienības direktīvām" svītrot atsauci uz Direktīvu 2006/66/EK.</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 ka </w:t>
            </w:r>
            <w:r w:rsidR="00000000" w:rsidRPr="00000000" w:rsidDel="00000000">
              <w:rPr>
                <w:i w:val="1"/>
                <w:rtl w:val="0"/>
              </w:rPr>
              <w:t xml:space="preserve">Eiropas Parlamenta un Padomes 2013. gada 20. novembra Direktīva 2013/56/ES, ar ko groza Eiropas Parlamenta un Padomes Direktīvu 2006/66/EK par baterijām un akumulatoriem, un bateriju un akumulatoru atkritumiem attiecībā uz tādu kadmiju saturošu pārnēsājamu bateriju un akumulatoru laišanu tirgū, kurus paredzēts izmantot bezvada elektriskajos instrumentos, kā arī attiecībā uz podziņelementu ar nelielu dzīvsudraba saturu laišanu tirgū un ar ko atceļ Komisijas Lēmumu 2009/603/EK</w:t>
            </w:r>
            <w:r w:rsidR="00000000" w:rsidRPr="00000000" w:rsidDel="00000000">
              <w:rPr>
                <w:rtl w:val="0"/>
              </w:rPr>
              <w:t xml:space="preserve"> nav spēkā ar 2025. gada 17. augustu. Līdz ar to aicinām svītrot informatīvo atsauci uz šo direktīvu.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Valērija Ruta Hartmane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kancelejas 2021.gada vadlīnijās sākotnējās ietekmes novērtēšanai un novērtējuma ziņojuma sagatavošanai vienotajā tiesību aktu izstrādes un saskaņošanas portālā noteikto, aicinām precizēt anotācijas 8.1.13. apakšpunktu, ietverot skaidru un saprotamu informāciju par projektā paredzēto personu datu apstrādi, norādot tiesisko pamatojumu personu datu apstrādei (tostarp arī spēkā esošu ārējo normatīvo aktu (-us) un tā normu (-as), no kā ir izsecināma nepieciešamība apstrādāt personu datus projektā paredzētajā veidā), kā arī sniedzot īsu un kodolīgu skaidrojumu par paredzēto personu datu apstrādi – kādu datu subjektu un kādu kategoriju datus paredz apstrādāt projekts, kādos konkrētos nolūkos, papildus norādot arī – vai personu dati tiks glabāti un kāds būs datu glabāšanas termiņš, kāds ir pamatojums glabāšanas termiņam, kā arī informāciju par to, vai dati tiks nodoti citām institūcijām un kādā nolūkā. Vēršam uzmanību, ka projekta ietvaros tiek plānota fizisko personu datu apstrāde, piemēram, 1.</w:t>
            </w:r>
            <w:r w:rsidR="00000000" w:rsidRPr="00000000" w:rsidDel="00000000">
              <w:rPr>
                <w:vertAlign w:val="superscript"/>
                <w:rtl w:val="0"/>
              </w:rPr>
              <w:t xml:space="preserve">3</w:t>
            </w:r>
            <w:r w:rsidR="00000000" w:rsidRPr="00000000" w:rsidDel="00000000">
              <w:rPr>
                <w:rtl w:val="0"/>
              </w:rPr>
              <w:t xml:space="preserve">pielikumā informācija par bateriju ražotāja pilnvaroto pārstāvi, tādēļ saskatāma projekta tiesiskās ietekme uz personas datu aizsardzību.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Skutele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25-TA-976</w:t>
    </w:r>
    <w:r>
      <w:br/>
    </w:r>
    <w:r w:rsidR="00000000" w:rsidRPr="00000000" w:rsidDel="00000000">
      <w:rPr>
        <w:rtl w:val="0"/>
      </w:rPr>
      <w:t xml:space="preserve">Izdrukāts 28.08.2025. 13.31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25-TA-976</w:t>
    </w:r>
    <w:r>
      <w:br/>
    </w:r>
    <w:r w:rsidR="00000000" w:rsidRPr="00000000" w:rsidDel="00000000">
      <w:rPr>
        <w:rtl w:val="0"/>
      </w:rPr>
      <w:t xml:space="preserve">Izdrukāts 28.08.2025. 13.31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Atzinumi_25-TA-976.docx</dc:title>
</cp:coreProperties>
</file>

<file path=docProps/custom.xml><?xml version="1.0" encoding="utf-8"?>
<Properties xmlns="http://schemas.openxmlformats.org/officeDocument/2006/custom-properties" xmlns:vt="http://schemas.openxmlformats.org/officeDocument/2006/docPropsVTypes"/>
</file>