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24-TA-1846: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 attālinātā un tiešsaistes režīmā" 4.2.1.5. pasākuma "Izglītības iestāžu nodrošinājums pilnveidotā vispārējās izglītības satura kvalitatīvai ieviešanai pamata un vidējās izglītības pakāpē" otrās projekta iesniegumu atlases kārtas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iekšējo inženiertīklu (iekšējo elektrotīklu,  apkures  sistēmu,  vēdināšanas  un gaisa kondicionēšanas sistēmu,    ūdensvada    tīklu,    kanalizācijas    tīklu,    automātisko    ugunsgrēka atklāšanas, video novērošanas sistēmas, tostarp video novērošanas kameras, balss apziņošanas  sistēmas, trauksmes signalizācijas un automātiskās balss ugunsgrēka izziņošanas sistēmu) izbūves un pārbūves izmaksas. Minētās izmaksas plāno kā papildinošas šo noteikumu 20.2.1. un 20.2.2. apakšpunktā minētajām izmaksām, un tās nepārsniedz 25 procentus no šo noteikumu 20.2.1. un 20.2.2. apakšpunktā minētajām būvdarbu attiecināmajām izmaksām. Ja projekta īstenošanas rezultātā paredzēta visu projektā atbalstāmās vispārējās izglītības iestādes klašu telpu mācību vides uzlabošana, iekšējo inženiertīklu izbūves un pārbūves izmaksas, izņemot vēdināšanas un gaisa kondicionēšanas sistēmu izbūves un pārbūves izmaksas, tās nepārsniedz 25 procentus no projekta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nerastos interpretācijas un nodrošinātu skaidrību par piemērošanas algoritmu, lūdzam precizēt redakciju, papildinot ar norādi, ka 25% aprēķina no projekta </w:t>
            </w:r>
            <w:r w:rsidR="00000000" w:rsidRPr="00000000" w:rsidDel="00000000">
              <w:rPr>
                <w:b w:val="1"/>
                <w:rtl w:val="0"/>
              </w:rPr>
              <w:t xml:space="preserve">kopējām </w:t>
            </w:r>
            <w:r w:rsidR="00000000" w:rsidRPr="00000000" w:rsidDel="00000000">
              <w:rPr>
                <w:rtl w:val="0"/>
              </w:rPr>
              <w:t xml:space="preserve">attiecināmajām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iekšējo inženiertīklu (iekšējo elektrotīklu,  apkures  sistēmu,  vēdināšanas  un gaisa kondicionēšanas sistēmu,    ūdensvada    tīklu,    kanalizācijas    tīklu,    automātisko    ugunsgrēka atklāšanas, video novērošanas sistēmas, tostarp video novērošanas kameras, balss apziņošanas  sistēmas, trauksmes signalizācijas un automātiskās balss ugunsgrēka izziņošanas sistēmu) izbūves un pārbūves izmaksas. Minētās izmaksas plāno kā papildinošas šo noteikumu 20.2.1. un 20.2.2. apakšpunktā minētajām izmaksām, un tās nepārsniedz 25 procentus no šo noteikumu 20.2.1. un 20.2.2. apakšpunktā minētajām būvdarbu attiecināmajām izmaksām. Ja projekta īstenošanas rezultātā paredzēta visu projektā atbalstāmās vispārējās izglītības iestādes klašu telpu mācību vides uzlabošana, iekšējo inženiertīklu izbūves un pārbūves izmaksas, izņemot vēdināšanas un gaisa kondicionēšanas sistēmu izbūves un pārbūves izmaksas, tās nepārsniedz 25 procentus no projekta </w:t>
            </w:r>
            <w:r w:rsidR="00000000" w:rsidRPr="00000000" w:rsidDel="00000000">
              <w:rPr>
                <w:b w:val="1"/>
                <w:rtl w:val="0"/>
              </w:rPr>
              <w:t xml:space="preserve">kopējām </w:t>
            </w:r>
            <w:r w:rsidR="00000000" w:rsidRPr="00000000" w:rsidDel="00000000">
              <w:rPr>
                <w:rtl w:val="0"/>
              </w:rPr>
              <w:t xml:space="preserve">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Izmaksas ir attiecināmas no šo noteikumu spēkā stāšanās dienas, izņemot šo noteikumu 20.10., 20.11., 20.12. apakšpunktā minētās izmaksas, kas ir attiecināmas, ja tās veiktas, sākot ar 2023. gada 1. janvāri. Izmaksas par darbībām, kuras tiek pabeigtas līdz investīcijas projekta iesnieguma apstiprināšanai, nav attiecināmas.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juridiskās tehnikas prasībām tiesību normai ir jābūt skaidrai, lai tās lietotājs un piemērotājs gūtu nepārprotamu priekšstatu par normā ietvertajiem pienākumiem un tiesībām. Lai nodrošinātu viennozīmīgu normas izpratni, lūdzam svītrot noteikumu projekta 23. punktā vārdu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aizstāt noteikumu projekta 23.punktā vārdu “apstiprināšanai” ar vārdiem “iesniegšanai sadarbības iestādē”. Skaidrojam, ka no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63. panta 6. punkta izriet, ka darbības atbalsta saņemšanai no fondiem neatlasa, ja tās ir faktiski pabeigtas vai pilnībā īstenotas, pirms ir iesniegts pieteikums par finansējumu atbilstoši programmai, neatkarīgi no tā, vai ir veikti visi saistītie maksājumi.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informē sadarbības iestādi par enerģijas patēriņu arī pirms projekta īstenošanas, nodrošinot atbilstību Energoefektivitātes likuma 15.pantam, kā arī iespēju noteikt projekta īstenošanas rezultātā radušos enerģijas samazinājumu, kā arī trīs gadus pēc projekta īstenošanas informē sadarbības iestādi par būves ikgadējo enerģijas patēriņu (megavatstundas);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Skaidrākai uztveramībai aicinām izteikt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pirms projekta īstenošanas, kā arī trīs gadus pēc projekta īstenošanas informē sadarbības iestādi par būves ikgadējo enerģijas patēriņu (megavatstundas);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apakšsadaļā "Risinājuma apraksts" noteikts, ka </w:t>
            </w:r>
            <w:r w:rsidR="00000000" w:rsidRPr="00000000" w:rsidDel="00000000">
              <w:rPr>
                <w:i w:val="1"/>
                <w:rtl w:val="0"/>
              </w:rPr>
              <w:t xml:space="preserve">noteikumu projekta izstrādē tika vērtēta vienkāršoto izmaksu piemērošana, taču ievērojot Izglītības un zinātnes ministrijas pieredzi līdzīgu investīciju programmu ieviešanā, var pieņemt, ka pasākuma ietvaros īstenotajos projektos darbības un to apmēri katram finansējuma saņēmējam būs atšķirīgi - gan infrastruktūras, gan aprīkojuma ziņā. Līdz ar to, pasākuma ieviešanā netiek paredzēta vienkāršoto izmaksu piemērošana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noteikumu projekta 25. punkta izriet, ka pie noteiktiem nosacījumiem (</w:t>
            </w:r>
            <w:r w:rsidR="00000000" w:rsidRPr="00000000" w:rsidDel="00000000">
              <w:rPr>
                <w:i w:val="1"/>
                <w:rtl w:val="0"/>
              </w:rPr>
              <w:t xml:space="preserve">ja projekta īstenošanas laikā stājas spēkā vienkāršoto izmaksu horizontālā metodika, kas ir obligāti piemērojama visiem Eiropas Savienības fondu 2021. –2027. gada plānošanas perioda projektiem vai atbildīgās iestādes izstrādāta un ar vadošo iestādi saskaņota vienkāršoto izmaksu metodika, kas piemērojama kārtā, tā tiek piemērota pasākuma otrās projektu iesniegumu atlases kārtas projekta īstenošanā</w:t>
            </w:r>
            <w:r w:rsidR="00000000" w:rsidRPr="00000000" w:rsidDel="00000000">
              <w:rPr>
                <w:rtl w:val="0"/>
              </w:rPr>
              <w:t xml:space="preserve">) varētu tikt piemērotas vienkāršotās izmaksas, lūdzam papildināt anotācijā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24-TA-1846</w:t>
    </w:r>
    <w:r>
      <w:br/>
    </w:r>
    <w:r w:rsidR="00000000" w:rsidRPr="00000000" w:rsidDel="00000000">
      <w:rPr>
        <w:rtl w:val="0"/>
      </w:rPr>
      <w:t xml:space="preserve">Izdrukāts 18.09.2024. 21.45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24-TA-1846</w:t>
    </w:r>
    <w:r>
      <w:br/>
    </w:r>
    <w:r w:rsidR="00000000" w:rsidRPr="00000000" w:rsidDel="00000000">
      <w:rPr>
        <w:rtl w:val="0"/>
      </w:rPr>
      <w:t xml:space="preserve">Izdrukāts 18.09.2024. 21.45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Atzinumi_24-TA-1846.docx</dc:title>
</cp:coreProperties>
</file>

<file path=docProps/custom.xml><?xml version="1.0" encoding="utf-8"?>
<Properties xmlns="http://schemas.openxmlformats.org/officeDocument/2006/custom-properties" xmlns:vt="http://schemas.openxmlformats.org/officeDocument/2006/docPropsVTypes"/>
</file>