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Pārtikas uzņēmumā izmantojamā 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 visi Noteikumu projekta 4.pielikumā noteiktie obligāti piemērojamie standarti ir pieejami latviešu valodā, savukārt Standartizācijas likuma 14.panta otrā daļā ir noteikts, ka obligāti piemērojamiem Latvijas nacionālajiem standartiem ir jābūt tulkotiem valsts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anotāciijā iekļaut informāciju par to, kuri obligāti piemērojamie standarti no noteikumu projekta 4.pielikuma ir pieejami latviešu valodā, kā arī attiecībā uz tiem obligāti piemērojamiem standartiem, kas nav pieejami latviešu valodā, lūdzam sniegt informāciju anotācijā par Zemkopības ministrijas plāniem/iespējām nodrošināt šo standartu tulkošanu latviešu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Hermansone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05.04.2023. 11.10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05.04.2023. 11.10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Atzinumi_22-TA-186.docx</dc:title>
</cp:coreProperties>
</file>

<file path=docProps/custom.xml><?xml version="1.0" encoding="utf-8"?>
<Properties xmlns="http://schemas.openxmlformats.org/officeDocument/2006/custom-properties" xmlns:vt="http://schemas.openxmlformats.org/officeDocument/2006/docPropsVTypes"/>
</file>