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26-TA-466: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pārvaldē nodarbināto godprātības veicināšanas un interešu konflikta novēršanas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Informāciju, kas ir pieejama saskaņā ar speciālā subjekta amata pienākumu pildīšanu, aizliegts prettiesiski izpaust vai izmantot mērķiem, kas nav saistīti ar amata pienākumu veikšanu vai konkrētu darba uzdevumu pildīšanu.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10.panta sestā daļa par konkrētās informācijas aprites ierobežojumiem nav attiecināma uz speciālajam subjektam noteiktajiem aizliegumiem un ierobežojumiem. Ievērojot to, ka šo jautājumu risina Informācijas atklātības likums, šādas informācijas aprites ierobežojumu paredzēšana šajā likumā nav aktuāla.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Agnis Pormalis (ĢP)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Pildot amata pienākumus, ir aizliegts pieņemt dāvanas neatkarīgi no to vērtības, devēja statusa vai nodoma, izņemot diplomātiskās dāvanas vai, ja ārējā normatīvajā aktā nav noteikts citādi. Diplomātiskās dāvanas ir attiecīgās publiskas personas institūcijas īpašums. Ministru kabinets nosaka kārtību, kādā reģistrējamas, novērtējamas, izmantojamas un izpērkamas diplomātiskās dāvanas.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10.panta astotā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Izvērtējams, vai attiecībā uz dāvanu pieņemšanu speciālajiem subjektiem nav nosakāmi izņēmumi analoģiski, kā tas ir paredzēts šobrīd likuma “Par interešu konflikta novēršanu valsts amatpersonu darbībā” 13.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Agnis Pormalis (ĢP)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Vispārīgie amata savienošanas ierobežojumi speciālajiem subjektiem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precizējams, uz kurām no 12. panta daļām attiecas šā panta otrās daļas otrajā teikumā ietvertā atruna, jo šobrīd tā ir pretrunā ar šā panta trešās daļas 2. punktu. Gadījumā, ja ar jauno regulējumu tiek paredzēts paplašināt savienošanai atļauto amatu sarakstu ar vēlēšanu iecirkņa komisijas locekļa pienākumu veikšanu, tad tas ir jāparedz 12. panta trešajā daļā vai 13. pantā. Tajā pat laikā nopietni ir izvērtējams vai, ievērojot vēlēšanu iecirkņa komisijas locekļa izvirzīšanas un ievēlēšanas kārtību, amata savienošana ar šo pienākumu pildīšanu ir pieļaujama arī tiem speciālajiem subjektiem, kuriem ir pienākums saglabāt politisko neitralitāti.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Agnis Pormalis (ĢP)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12.06.2026. 14.02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12.06.2026. 14.02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Atzinumi_26-TA-466.docx</dc:title>
</cp:coreProperties>
</file>

<file path=docProps/custom.xml><?xml version="1.0" encoding="utf-8"?>
<Properties xmlns="http://schemas.openxmlformats.org/officeDocument/2006/custom-properties" xmlns:vt="http://schemas.openxmlformats.org/officeDocument/2006/docPropsVTypes"/>
</file>