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pēc konkursa ietvaros atbalstāmo aktivitāšu īstenošanas ēka atbilst normatīvajos aktos noteiktajām prasībām gandrīz nulles enerģijas ēkai un augstas efektivitātes sistēmu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8.2. apakšpunktu un norādīt konkrētu normatīvo aktu jomu atbilstoši Ministru kabineta 2009. gada 3. februāra noteikumu Nr. 108 "Normatīvo aktu projektu sagatavošanas noteikumi" 137. punktam. Līdzīgi lūdzam papildināt noteikumu projekta 16.4.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24.10.2024.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24.10.2024.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