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iespējām īstenot izmaksu efektīvākus SEG emisiju samazināšanas un piesaistes palielināšanas pasākumus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Informatīvajā Ziņojumā konsekventi tiek izcelta mežizstrādes samazinājuma negatīvā ietekme uz IKP, nodarbinātību un eksportu, taču netiek pilnvērtīgi analizētas alternatīvas nodarbinātības iespējas, piemēram, agromežsaimniecības attīstība, kā arī iespējas, ka zaļās ekonomikas virzienā orientētas investīcijas var radīt jaunas darba vietas. Turklāt esošais pieņēmums, ka mežizstrādes apjoma samazinājums nav efektīvs risinājums, neatspoguļo pašreizējo zinātnisko izpratni par vecu mežu lomu oglekļa uzkrāšanā un dabas daudzveidības nodrošināšanā, kā arī veicina skatījumu, ka bioloģiskā daudzveidība nav integrēta klimata politikas sastāvdaļa, bet gan potenciāli traucējošs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Informatīvā Ziņojuma nav skaidri saprotams, kuri tieši un kādā apjomā no pieminētajiem pasākumiem tiks realizēti SEG emisiju samazinājumam līdz 2030 un kuri līdz 2050.gadam, vienlaicīgi nodrošinot arī ES tiesību aktu ievērošanu dabas aizsardzības jomā un panākot sabalansētību visās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informatīvais ziņojums sagatavots, ievērojot Ministru kabineta 2024. gada 9. jūlija sēdes protokola Nr. 28 59.§ “Plāna projekts “Aktualizētais Nacionālais enerģētikas un klimata plāns 2021.–2030. gadam”” 7. punktu, vēršam uzmanību uz </w:t>
            </w:r>
            <w:r w:rsidR="00000000" w:rsidRPr="00000000" w:rsidDel="00000000">
              <w:rPr>
                <w:i w:val="1"/>
                <w:rtl w:val="0"/>
              </w:rPr>
              <w:t xml:space="preserve">Informatīvo ziņojumu par vides apsvērumu, vides pārskatā izteikto atzinumu un sabiedriskās apspriešanas rezultātu integrāciju Aktualizētajā Latvijas Nacionālajā enerģētikas un klimata plānā 2021. - 2030. gadam </w:t>
            </w:r>
            <w:r w:rsidR="00000000" w:rsidRPr="00000000" w:rsidDel="00000000">
              <w:rPr>
                <w:rtl w:val="0"/>
              </w:rPr>
              <w:t xml:space="preserve">(turpmāk – NEKP) </w:t>
            </w:r>
            <w:r w:rsidR="00000000" w:rsidRPr="00000000" w:rsidDel="00000000">
              <w:rPr>
                <w:i w:val="1"/>
                <w:rtl w:val="0"/>
              </w:rPr>
              <w:t xml:space="preserve">un tā stratēģiskā ietekmes uz vidi novērtējuma Vides pārskatā </w:t>
            </w:r>
            <w:r w:rsidR="00000000" w:rsidRPr="00000000" w:rsidDel="00000000">
              <w:rPr>
                <w:rtl w:val="0"/>
              </w:rPr>
              <w:t xml:space="preserve">(publicēts Klimata un enerģētikas ministrijas tīmekļa vietnē: https://www.kem.gov.lv/lv/media/3582/download?attachment)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dokumentā norādīts, ka “</w:t>
            </w:r>
            <w:r w:rsidR="00000000" w:rsidRPr="00000000" w:rsidDel="00000000">
              <w:rPr>
                <w:i w:val="1"/>
                <w:rtl w:val="0"/>
              </w:rPr>
              <w:t xml:space="preserve">NEKP SIVN parāda, ka ietekmes uz vidi kopumā ir pozitīva abām izvērtētajām pasākumu alternatīvām, bet katram konkrētam projektam, kas atbilst tiem 1. alternatīvas pasākumiem, kuriem 2. alternatīvā ir piedāvātas alternatīvas (skat. SIVN Vides pārskata 1. un 2. pielikumu), ieteicams pirms īstenošanas detāli novērtēt ietekmi uz vidi, vai šā pasākuma pozitīvās ietekmes citās jomās attaisno negatīvo ietekmi uz bioloģisko daudzveidību, vai jāizvēlas otra alternatīva.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vērš uzmanību uz to, ka daļa šajā informatīvā ziņojumā minētie pasākumi ir no NEKP ar jau iepriekš identificētu negatīvu ietekmi uz bioloģisko daudzveidību, piemēram, minerālmēslojuma lietošana sausieņos un āreņos.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informatīvajā ziņojumā par šo un citiem pasākumiem, kas minēti aktualizētajā NEKP Vides pārskatā, norādīt jau identificēto negatīvo ietekmi uz bioloģisko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Atzinumi_25-TA-1239.docx</dc:title>
</cp:coreProperties>
</file>

<file path=docProps/custom.xml><?xml version="1.0" encoding="utf-8"?>
<Properties xmlns="http://schemas.openxmlformats.org/officeDocument/2006/custom-properties" xmlns:vt="http://schemas.openxmlformats.org/officeDocument/2006/docPropsVTypes"/>
</file>