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Elektronisko sakaru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28.</w:t>
            </w:r>
            <w:r w:rsidR="00000000" w:rsidRPr="00000000" w:rsidDel="00000000">
              <w:rPr>
                <w:b w:val="1"/>
                <w:vertAlign w:val="superscript"/>
                <w:rtl w:val="0"/>
              </w:rPr>
              <w:t xml:space="preserve">1</w:t>
            </w:r>
            <w:r w:rsidR="00000000" w:rsidRPr="00000000" w:rsidDel="00000000">
              <w:rPr>
                <w:b w:val="1"/>
                <w:rtl w:val="0"/>
              </w:rPr>
              <w:t xml:space="preserve"> Dzīvokļu īpašnieku kopības lēmuma pieņemšana par elektronisko sakaru tīkla ierīkošanu, būvniecību, tostarp pārbūvi gadījumos, kad aptauju dzīvokļa īpašuma kopības lēmuma pieņemšanai veic elektronisko sakaru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svītrot panta otro un trešo daļu, paredzot, ka lēmuma organizēšanas tiesības un pienākums ir tikai dzīvojamās mājas pārvaldniekam, ņemot vērā gan identificētos riskus attiecībā uz potenciālo elektronisko sakaru komersanta rīkoto lēmumu tiesiskuma nodrošināšanu un 2.aprīļa starpinstitūciju sanāksmē identificēto atbildības jautājumu par neatbilstoši normatīvajiem aktiem pieņemtiem kopības lēmumiem, kā arī ņemot vērā, ka piedāvātais regulējums varētu kļūt neaktuāls saistībā ar Ekonomikas ministrijas virzīto likumprojektu "Dzīvojamo māju pārvaldīšanas likums", kurā paredzēts noteikt pārvaldnieka tiesības noteiktos gadījumos organizēt kopības lēmumu pieņemšanu pēc trešo personu pieprasījuma (22-TA-3669 - likumprojektu tuvāko divu nedēļu laikā plānots virzīts saskaņošanai ar institūcijām).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27.04.2026.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27.04.2026.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Atzinumi_24-TA-1586.docx</dc:title>
</cp:coreProperties>
</file>

<file path=docProps/custom.xml><?xml version="1.0" encoding="utf-8"?>
<Properties xmlns="http://schemas.openxmlformats.org/officeDocument/2006/custom-properties" xmlns:vt="http://schemas.openxmlformats.org/officeDocument/2006/docPropsVTypes"/>
</file>