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anotācijas sadaļā "Sasniedzamie rādītāji" ir iekļauta informācija par eksporta un produktivitātes datu analīzi, ko veiks pasākuma ietvaros atbildīgā iestāde atbilstoši Centrālās statistikas pārvaldes (CSP) datiem, tādējādi mazinot administratīvo slogu (nepieprasot datus sniegt atbalsta saņēmējiem), aicinām EM šajā sadaļā iekļaut arī informāciju par RIS3 rādītāju uzkrāšanu (P&amp;A izdevumi publiskā un privātā finansējuma griezumā), ko pasākuma ietvaros pēc projekta īstenošanas nodrošinās atbildīgā iestāde,  izmantojot CSP datus. Tā, kā augstākminēto datu apkopšana notiks pēc projekta īstenošanas beigām, tad vēršam uzmanību, ka atbildīgajai iestādei nebūs iespējas tos ievadīt KPVIS, jo to šobrīd vēl nenodrošina KPVIS funkcionalitāte. Ņemto vērā to, ka visi atbildīgās iestādes pasākuma īstenošanas un pēc pasākuma īstenošanas beigām uzkrātie dati ir svarīgi ex-post u.c. izvērtējumiem, aicinām EM anotācijā norādīt informāciju par vietu, kur tie tiks uzkrāti un kur būs pieejams to apkopojums (piemēram, tiek tiks nodoti EM RIS3 monitoringa vienībai un/vai publicēti EM mājas lapā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08.10.2024. 19.26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08.10.2024. 19.26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