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 kāda laikā periodā plānota šo noteikumu prasību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tieši interneta plūsmu apmaiņas punkts (GLV-IX) palielinās drošību, neietekmējot saturu, datu apmaiņas u.tml. Vai tiešām šobrīd esošie komunikācijas kanāli ir tik nedroši?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nevar saprast kādas ir tehniskās prasības, lai pieslēgties GLV-IX? Vai tas tad paredz, ka visām  pašvaldības sistēmām, kas nestāv lokāli, bet gan pie pakalpojuma sniedzēja (komersanta) arī būs jānodrošina, ka mākoņpakalpojums ir pieslēgts pie šīs vārtejas?? Kā šis ietekmēs lielos ārvalstu mākoņpakalpojumus - piemēram M365 abonementu vai Google Workspace - kur pašvaldībai notiek visa iekšējā komunikācija, dokumentu apmaiņa, glabāšana u.c darba procesam vitāli svarīgi rīki?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vai pastarpinātās pārvaldes iestādēm, citām valsts institūcijām un atvasinātajām publiskajām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skaidras definīcijās – Pašvaldība noteikumu izpratnē, ir pastarpināta pārvaldes iestāde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likumā ir pavisam formulējums un nav noteikts arī obligātums: “Vienotā valsts interneta plūsmu apmaiņas punkta pakalpojumus ir tiesīga saņemt valsts vai pašvaldības institūcija vai subjekts, kura iekļaušanu vienotā valsts interneta plūsmu apmaiņas punkta pakalpojumu saņēmēju sarakstā ir atbalstījusi starpinstitūciju komisija. Minētās komisijas sastāvu, izveides un darbības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29.04.2024.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29.04.2024.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