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jau iepriekš izteikto pozīcīju. Mēs aicinām kapitāla atlaidi aprēķināt no projekta attiecināmajām izmaksām, kā tas notiek, piemēram, renovācijas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uzsver, ka finansējuma struktūra (kompozīcija) nedrīkst ietekmēt sniegtā atbalsta apmēru. Lielākā daļa šo programmu potenciālo izmantotāju jau ir uzņēmumi, kas finansējas tirgū un kuriem ir racionāli un ekonomiski pamatoti turpināt izmantot arī privāto finansējumu. Tomēr noteikumu projekta normas ierobežo šo uzņēmumu ekonomisko brīvību un privāttiesisko autonomiju, jo piespiež tos izmantot tikai “Altum” aizdevumu.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programma ir saskaņota ar Eiropas Komisiju un ka paredzētais ieviešanas modelis ir pilotprojekts, kuru nepieciešams īstenot nemainītā veidā. Asociācija norāda, ka, ja jau šobrīd ir acīmredzami būtiski trūkumi, tos jānovērš nekavējoties, nevis jāgaida līdz programmas beigu termiņam –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Ekonomikas ministriju noteikumu projektā atrsisināt arī šādus būtiskus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vienkāršu un saprotamu projekta īstenošanas aprites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Publicēt metodiku atbilstoši spēkā esošajiem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kapitāla atlaides piešķiršanas lēmuma juridisko statusu (administratīvais akts vai 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Ekonomikas ministriju būtiski pilnveidot noteikumu projektu, nodrošinot atbalsta efektivitāti un atbilstību tirgus principiem! Atkārtoti apliecinām savu gatavību sadarboties, lai kopīgi rastu sabalansētu un uzņēmējiem draudzīgu, tirgus principiem  atbilstošu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14.04.2025.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14.04.2025.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Atzinumi_25-TA-215.docx</dc:title>
</cp:coreProperties>
</file>

<file path=docProps/custom.xml><?xml version="1.0" encoding="utf-8"?>
<Properties xmlns="http://schemas.openxmlformats.org/officeDocument/2006/custom-properties" xmlns:vt="http://schemas.openxmlformats.org/officeDocument/2006/docPropsVTypes"/>
</file>