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19. marta noteikumos Nr. 149 "Noteikumi par apgrozāmo līdzekļu aizdevumiem saimnieciskās darbības veicējiem, kuru darbību ietekmējusi Covid-19 izplatība"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Sabiedrībai "Altum" pieejamais valsts budžeta finansējums šīs programmas īstenošanai ir līdz 21 000 000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samazināts pieejamais finansējums programmas īstenošanai, lūdzam noteikumu projekta anotācijā sniegt izvērstu skaidrojumu par attiecīgo izmaiņu saderību ar tiesiskās paļāvības principu un to, kā šīs izmaiņas ietekmēs jau izsniegto atbalstu un personas, kuras ir atbalstam pieteikušās saskaņā ar Ministru kabineta 2020. gada 19. marta noteikumiem Nr. 149 "Noteikumi par apgrozāmo līdzekļu aizdevumiem saimnieciskās darbības veicējiem, kuru darbību ietekmējusi Covid-19 izplatība".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atbilstošu skaidrojumu nav iespējams sniegt, lūdzam svītrot noteikumu projekta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tiek pārkāptas šajos noteikumos minētās saskaņā ar Eiropas Komisijas lēmumu noteiktās komercdarbības atbalsta kontroles normas, atbalsta saņēmējam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 Ievērojot minēto, lūdzam skaidrot noteikumu projekta 11. punktā minētā lēmuma saistošo spēku attiecībā uz atbalsta saņēmējiem un nepieciešamības gadījumā svītrot noteikumu projekta 11. punktā ietverto atsauci uz lēmumiem, pārņemot noteikumu projektā attiecīgās lēmuma normas, lai padarītu tās minētajām privātpersonām saistošas.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Piešķirot</w:t>
            </w:r>
            <w:r w:rsidR="00000000" w:rsidRPr="00000000" w:rsidDel="00000000">
              <w:rPr>
                <w:i w:val="1"/>
                <w:rtl w:val="0"/>
              </w:rPr>
              <w:t xml:space="preserve"> 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Savukārt, piešķirot </w:t>
            </w:r>
            <w:r w:rsidR="00000000" w:rsidRPr="00000000" w:rsidDel="00000000">
              <w:rPr>
                <w:i w:val="1"/>
                <w:rtl w:val="0"/>
              </w:rPr>
              <w:t xml:space="preserve">de minimis</w:t>
            </w:r>
            <w:r w:rsidR="00000000" w:rsidRPr="00000000" w:rsidDel="00000000">
              <w:rPr>
                <w:rtl w:val="0"/>
              </w:rPr>
              <w:t xml:space="preserve"> atbalstu, pārbauda, vai viena vienota uzņēmuma līmenī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1408/2013 3. panta 3.a punktā vai Komisijas regulas Nr.717/2014 3. panta 2. un 3.punktā noteikto maksimālo </w:t>
            </w:r>
            <w:r w:rsidR="00000000" w:rsidRPr="00000000" w:rsidDel="00000000">
              <w:rPr>
                <w:i w:val="1"/>
                <w:rtl w:val="0"/>
              </w:rPr>
              <w:t xml:space="preserve">de minimis</w:t>
            </w:r>
            <w:r w:rsidR="00000000" w:rsidRPr="00000000" w:rsidDel="00000000">
              <w:rPr>
                <w:rtl w:val="0"/>
              </w:rPr>
              <w:t xml:space="preserve"> atbalsta apmēru. Šo noteikumu izpratnē viens vienots uzņēmums ir uzņēmums, kas atbilst Komisijas regulas Nr. </w:t>
            </w:r>
            <w:r w:rsidR="00000000" w:rsidRPr="00000000" w:rsidDel="00000000">
              <w:rPr>
                <w:rtl w:val="0"/>
              </w:rPr>
              <w:t xml:space="preserve">2</w:t>
            </w:r>
            <w:r w:rsidR="00000000" w:rsidRPr="00000000" w:rsidDel="00000000">
              <w:rPr>
                <w:rtl w:val="0"/>
              </w:rPr>
              <w:t xml:space="preserve">023/2831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23. punktu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Piešķirot de minimis atbalstu saskaņā ar Komisijas regulas Nr. 2023/2831, pārbauda, vai plānotais de minimis atbalsts kopā ar iepriekšējos trijos gados (skaitot no atbalsta piešķiršanas dienas) piešķirto de minimis atbalstu viena vienota uzņēmuma līmenī nepārsniedz Komisijas regulas Nr. 2023/2831 3. panta 2. punktā noteikto maksimālo de minimis atbalsta apmēru. Savukārt, piešķirot de minimis atbalstu saskaņā ar Komisijas regulu Nr. 1408/2013 vai Komisijas regulu Nr.717/2014, pārbauda, vai viena vienota uzņēmuma līmenī atbalsts nepalielina attiecīgajā fiskālajā gadā, kā arī iepriekšējos divos fiskālajos gados saņemtā de minimis atbalsta kopējo apmēru līdz līmenim, kas pārsniedz Komisijas regulas Nr. 1408/2013 3. panta 3.a punktā vai Komisijas regulas Nr.717/2014 3. panta 2. un 3.punktā noteikto maksimālo de minimis atbalsta apmēru. Šo noteikumu izpratnē viens vienots uzņēmums ir uzņēmums, kas atbilst Komisijas regulas Nr. 2023/2831 2. panta 2. punktā, Komisijas regulas Nr. 1408/2013 2. panta 2. punktā vai Komisijas regulas Nr. 717/2014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24-TA-1582</w:t>
    </w:r>
    <w:r>
      <w:br/>
    </w:r>
    <w:r w:rsidR="00000000" w:rsidRPr="00000000" w:rsidDel="00000000">
      <w:rPr>
        <w:rtl w:val="0"/>
      </w:rPr>
      <w:t xml:space="preserve">Izdrukāts 03.07.2024.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24-TA-1582</w:t>
    </w:r>
    <w:r>
      <w:br/>
    </w:r>
    <w:r w:rsidR="00000000" w:rsidRPr="00000000" w:rsidDel="00000000">
      <w:rPr>
        <w:rtl w:val="0"/>
      </w:rPr>
      <w:t xml:space="preserve">Izdrukāts 03.07.2024.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Atzinumi_24-TA-1582.docx</dc:title>
</cp:coreProperties>
</file>

<file path=docProps/custom.xml><?xml version="1.0" encoding="utf-8"?>
<Properties xmlns="http://schemas.openxmlformats.org/officeDocument/2006/custom-properties" xmlns:vt="http://schemas.openxmlformats.org/officeDocument/2006/docPropsVTypes"/>
</file>