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 janvāra noteikumos Nr. 12 "Privatizācijas sertifikātu kontu apkalpošanas, privatizācijas sertifikātu izmantošanas un aprites administrēšanas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spēkā stāšanās termiņu, jo atbilstoši noteikumu projekta 2. punktam noteikumi stāsies spēkā 2025. gada 1. maijā, bet 1.4., 1.38. un 1.39. apakšpunkts - 2026. gada 1. maijā.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Mantoto sertifikātu konta atvēršanai mantojuma aizgādnim, testamenta izpildītājam vai mantiniekam jāiesniedz likumīgā spēkā stājies tiesas nolēmums vai notariālais akts par mantojuma aizgādņa iecelšanu vai mantojuma tiesību apstiprināšanu vai minēto dokumentu kopijas, kas apliecinātas normatīvajos aktos noteiktajā kārtībā vai izgatavotas pie sertifikātu kontu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Civillikuma, Civilprocesa likuma un Notariāta likuma regulējumam precizēt mantoto sertifikātu konta atvēršanai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Notariāta likuma 292.</w:t>
            </w:r>
            <w:r w:rsidR="00000000" w:rsidRPr="00000000" w:rsidDel="00000000">
              <w:rPr>
                <w:vertAlign w:val="superscript"/>
                <w:rtl w:val="0"/>
              </w:rPr>
              <w:t xml:space="preserve">3</w:t>
            </w:r>
            <w:r w:rsidR="00000000" w:rsidRPr="00000000" w:rsidDel="00000000">
              <w:rPr>
                <w:rtl w:val="0"/>
              </w:rPr>
              <w:t xml:space="preserve"> panta pirmo daļu, ja zvērināts notārs atzīst, ka ir pamats nodibināt mantojumam aizgādnību, viņš taisa </w:t>
            </w:r>
            <w:r w:rsidR="00000000" w:rsidRPr="00000000" w:rsidDel="00000000">
              <w:rPr>
                <w:u w:val="single"/>
                <w:rtl w:val="0"/>
              </w:rPr>
              <w:t xml:space="preserve">notariālo aktu par aizgādnības nodibināšanu mantojumam.</w:t>
            </w:r>
            <w:r w:rsidR="00000000" w:rsidRPr="00000000" w:rsidDel="00000000">
              <w:rPr>
                <w:rtl w:val="0"/>
              </w:rPr>
              <w:t xml:space="preserve"> Savukārt notariālā aktā par </w:t>
            </w:r>
            <w:r w:rsidR="00000000" w:rsidRPr="00000000" w:rsidDel="00000000">
              <w:rPr>
                <w:u w:val="single"/>
                <w:rtl w:val="0"/>
              </w:rPr>
              <w:t xml:space="preserve">aizgādnības nodibināšanu mantojumam</w:t>
            </w:r>
            <w:r w:rsidR="00000000" w:rsidRPr="00000000" w:rsidDel="00000000">
              <w:rPr>
                <w:rtl w:val="0"/>
              </w:rPr>
              <w:t xml:space="preserve"> atbilstoši minētā panta otrās daļas 5. punktam norāda </w:t>
            </w:r>
            <w:r w:rsidR="00000000" w:rsidRPr="00000000" w:rsidDel="00000000">
              <w:rPr>
                <w:u w:val="single"/>
                <w:rtl w:val="0"/>
              </w:rPr>
              <w:t xml:space="preserve">bāriņtiesu</w:t>
            </w:r>
            <w:r w:rsidR="00000000" w:rsidRPr="00000000" w:rsidDel="00000000">
              <w:rPr>
                <w:rtl w:val="0"/>
              </w:rPr>
              <w:t xml:space="preserve">, kurai notariālais akts par aizgādnības nodibināšanu mantojumam </w:t>
            </w:r>
            <w:r w:rsidR="00000000" w:rsidRPr="00000000" w:rsidDel="00000000">
              <w:rPr>
                <w:u w:val="single"/>
                <w:rtl w:val="0"/>
              </w:rPr>
              <w:t xml:space="preserve">nosūtāms izpildīšanai un aizgādņa iecelšanai</w:t>
            </w:r>
            <w:r w:rsidR="00000000" w:rsidRPr="00000000" w:rsidDel="00000000">
              <w:rPr>
                <w:rtl w:val="0"/>
              </w:rPr>
              <w:t xml:space="preserve">. Arī Civillikuma 660. pants noteic, ka notārs pēc mantinieka lūguma vai 659. pantā norādītajos gadījumos, saņēmis attiecīgu paziņojumu, </w:t>
            </w:r>
            <w:r w:rsidR="00000000" w:rsidRPr="00000000" w:rsidDel="00000000">
              <w:rPr>
                <w:u w:val="single"/>
                <w:rtl w:val="0"/>
              </w:rPr>
              <w:t xml:space="preserve">nodibina aizgādnību mantojumam, par ko paziņo bāriņtiesai izpildīšanai.</w:t>
            </w:r>
            <w:r w:rsidR="00000000" w:rsidRPr="00000000" w:rsidDel="00000000">
              <w:rPr>
                <w:rtl w:val="0"/>
              </w:rPr>
              <w:t xml:space="preserve"> Turklāt atbilstoši Civillikuma 661. pantam aizgādņus izrauga mantojuma lietā ieinteresētās personas un, ja viņiem ir vajadzīgās īpašības, </w:t>
            </w:r>
            <w:r w:rsidR="00000000" w:rsidRPr="00000000" w:rsidDel="00000000">
              <w:rPr>
                <w:u w:val="single"/>
                <w:rtl w:val="0"/>
              </w:rPr>
              <w:t xml:space="preserve">apstiprina bāriņtiesa.</w:t>
            </w:r>
            <w:r w:rsidR="00000000" w:rsidRPr="00000000" w:rsidDel="00000000">
              <w:rPr>
                <w:rtl w:val="0"/>
              </w:rPr>
              <w:t xml:space="preserve"> Bet, kad lietā ieinteresētās personas nevienu neieteic par aizgādni, </w:t>
            </w:r>
            <w:r w:rsidR="00000000" w:rsidRPr="00000000" w:rsidDel="00000000">
              <w:rPr>
                <w:u w:val="single"/>
                <w:rtl w:val="0"/>
              </w:rPr>
              <w:t xml:space="preserve">tad aizgādņus ieceļ pati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Notariāta likuma 316. pantu, atzīstot mantošanas iesniegumu par pamatotu, zvērināts notārs taisa </w:t>
            </w:r>
            <w:r w:rsidR="00000000" w:rsidRPr="00000000" w:rsidDel="00000000">
              <w:rPr>
                <w:u w:val="single"/>
                <w:rtl w:val="0"/>
              </w:rPr>
              <w:t xml:space="preserve">notariālo aktu par apstiprināšanu mantojuma tiesībās</w:t>
            </w:r>
            <w:r w:rsidR="00000000" w:rsidRPr="00000000" w:rsidDel="00000000">
              <w:rPr>
                <w:rtl w:val="0"/>
              </w:rPr>
              <w:t xml:space="preserve"> pēc likuma (mantojuma apliecību), kurā norāda, vai iesniedzējs ieguvis visu mantojumu kā vienīgais mantinieks vai arī kā līdzmantinieks noteiktu tā domājamo daļu. Turklāt, ja ir civiltiesisks strīds par mantošanas tiesībām, tad tiesa arī taisa spriedumu par </w:t>
            </w:r>
            <w:r w:rsidR="00000000" w:rsidRPr="00000000" w:rsidDel="00000000">
              <w:rPr>
                <w:u w:val="single"/>
                <w:rtl w:val="0"/>
              </w:rPr>
              <w:t xml:space="preserve">apstiprināšanu mantojuma tiesībās (sk. Civilprocesa likuma 401.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Atverot pagaidu kontu vai kontu, kurā ieskaita mantotos sertifikātus, personai, kura nav reģistrēta Iedzīvotāju reģistrā vai Latvijas Republikas Uzņēmumu reģistra vestajos reģistros, sertifikātu kontu turētājs personas koda vai reģistrācijas numura vietā izmanto identifikācijas numuru, kuru pēc sertifikātu kontu turētāja pieprasījuma personai piešķir administrēšanas institūcija. Lai saņemtu identifikācijas numuru, persona sertifikātu kontu turētājam papildus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noteikumu 19.</w:t>
            </w:r>
            <w:r w:rsidR="00000000" w:rsidRPr="00000000" w:rsidDel="00000000">
              <w:rPr>
                <w:vertAlign w:val="superscript"/>
                <w:rtl w:val="0"/>
              </w:rPr>
              <w:t xml:space="preserve">1</w:t>
            </w:r>
            <w:r w:rsidR="00000000" w:rsidRPr="00000000" w:rsidDel="00000000">
              <w:rPr>
                <w:rtl w:val="0"/>
              </w:rPr>
              <w:t xml:space="preserve"> punktā, ierosinām aizstāt vārdus "kontu, kurā ieskaita mantotos sertifikātus" ar vārdiem "mantoto sertifikātu kontu". Vienlaikus vēršam uzmanību, ka fiziskās personas reģistrē un uzskaita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Atverot pagaidu kontu vai </w:t>
            </w:r>
            <w:r w:rsidR="00000000" w:rsidRPr="00000000" w:rsidDel="00000000">
              <w:rPr>
                <w:u w:val="single"/>
                <w:rtl w:val="0"/>
              </w:rPr>
              <w:t xml:space="preserve">mantoto sertifikātu kontu</w:t>
            </w:r>
            <w:r w:rsidR="00000000" w:rsidRPr="00000000" w:rsidDel="00000000">
              <w:rPr>
                <w:rtl w:val="0"/>
              </w:rPr>
              <w:t xml:space="preserve">, personai, kura nav reģistrēta </w:t>
            </w:r>
            <w:r w:rsidR="00000000" w:rsidRPr="00000000" w:rsidDel="00000000">
              <w:rPr>
                <w:u w:val="single"/>
                <w:rtl w:val="0"/>
              </w:rPr>
              <w:t xml:space="preserve">Fizisko personu</w:t>
            </w:r>
            <w:r w:rsidR="00000000" w:rsidRPr="00000000" w:rsidDel="00000000">
              <w:rPr>
                <w:rtl w:val="0"/>
              </w:rPr>
              <w:t xml:space="preserve"> reģistrā vai Latvijas Republikas Uzņēmumu reģistra vestajos reģistros, sertifikātu kontu turētājs personas koda vai reģistrācijas numura vietā izmanto identifikācijas numuru, kuru pēc sertifikātu kontu turētāja pieprasījuma personai piešķir administrēšanas institūcija. Lai saņemtu identifikācijas numuru, persona sertifikātu kontu turētājam papildus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Mantojuma aizgādnis, testamenta izpildītājs vai mantinieks ir tiesīgs rīkoties ar mantojuma atstājēja kontu, ja sertifikātu kontu turētājam ir iesniegts likumīgā spēkā stājies tiesas nolēmums vai notariālais akts par mantojuma aizgādņa iecelšanu vai mantojuma tiesību apstiprināšanu vai minēto dokumentu kopijas, kas apliecinātas normatīvajos aktos noteiktajā kārtībā vai izgatavotas pie sertifikātu kontu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Civillikuma, Civilprocesa likuma un Notariāta likuma regulējumam precizēt dokumentus, kas apliecina mantojuma aizgādņa un mantinieka tiesības rīkoties ar mantojuma atstājēja kontu. Vienlaikus lūdzam visā noteikumu tekstā lietot vienveidīgu terminoloģiju attiecībā uz mirušas personas konta apzīmējumu, jo vienīgi noteikumu projekta 41. punktā lietots termins "mantojuma atstājēja konts". Savukārt noteikumu 1.10. apakšpunktā un 55.</w:t>
            </w:r>
            <w:r w:rsidR="00000000" w:rsidRPr="00000000" w:rsidDel="00000000">
              <w:rPr>
                <w:vertAlign w:val="superscript"/>
                <w:rtl w:val="0"/>
              </w:rPr>
              <w:t xml:space="preserve">7</w:t>
            </w:r>
            <w:r w:rsidR="00000000" w:rsidRPr="00000000" w:rsidDel="00000000">
              <w:rPr>
                <w:rtl w:val="0"/>
              </w:rPr>
              <w:t xml:space="preserve"> punktā lietots termins "mirušas personas konts"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1. Saskaņā ar Notariāta likuma 292.3 panta pirmo daļu, ja zvērināts notārs atzīst, ka ir pamats nodibināt mantojumam aizgādnību, viņš taisa </w:t>
            </w:r>
            <w:r w:rsidR="00000000" w:rsidRPr="00000000" w:rsidDel="00000000">
              <w:rPr>
                <w:u w:val="single"/>
                <w:rtl w:val="0"/>
              </w:rPr>
              <w:t xml:space="preserve">notariālo aktu par aizgādnības nodibināšanu mantojumam</w:t>
            </w:r>
            <w:r w:rsidR="00000000" w:rsidRPr="00000000" w:rsidDel="00000000">
              <w:rPr>
                <w:rtl w:val="0"/>
              </w:rPr>
              <w:t xml:space="preserve">. Savukārt notariālā aktā par aizgādnības nodibināšanu mantojumam atbilstoši minētā panta otrās daļas 5. punktam norāda</w:t>
            </w:r>
            <w:r w:rsidR="00000000" w:rsidRPr="00000000" w:rsidDel="00000000">
              <w:rPr>
                <w:u w:val="single"/>
                <w:rtl w:val="0"/>
              </w:rPr>
              <w:t xml:space="preserve"> bāriņtiesu</w:t>
            </w:r>
            <w:r w:rsidR="00000000" w:rsidRPr="00000000" w:rsidDel="00000000">
              <w:rPr>
                <w:rtl w:val="0"/>
              </w:rPr>
              <w:t xml:space="preserve">, kurai notariālais akts par aizgādnības nodibināšanu mantojumam nosūtāms </w:t>
            </w:r>
            <w:r w:rsidR="00000000" w:rsidRPr="00000000" w:rsidDel="00000000">
              <w:rPr>
                <w:u w:val="single"/>
                <w:rtl w:val="0"/>
              </w:rPr>
              <w:t xml:space="preserve">izpildīšanai un aizgādņa iecelšanai.</w:t>
            </w:r>
            <w:r w:rsidR="00000000" w:rsidRPr="00000000" w:rsidDel="00000000">
              <w:rPr>
                <w:rtl w:val="0"/>
              </w:rPr>
              <w:t xml:space="preserve"> Arī Civillikuma 660. pants noteic, ka notārs pēc mantinieka lūguma vai 659. pantā norādītajos gadījumos, saņēmis attiecīgu paziņojumu, </w:t>
            </w:r>
            <w:r w:rsidR="00000000" w:rsidRPr="00000000" w:rsidDel="00000000">
              <w:rPr>
                <w:u w:val="single"/>
                <w:rtl w:val="0"/>
              </w:rPr>
              <w:t xml:space="preserve">nodibina aizgādnību mantojumam, par ko paziņo bāriņtiesai izpildīšanai.</w:t>
            </w:r>
            <w:r w:rsidR="00000000" w:rsidRPr="00000000" w:rsidDel="00000000">
              <w:rPr>
                <w:rtl w:val="0"/>
              </w:rPr>
              <w:t xml:space="preserve"> Turklāt atbilstoši Civillikuma 661. pantam </w:t>
            </w:r>
            <w:r w:rsidR="00000000" w:rsidRPr="00000000" w:rsidDel="00000000">
              <w:rPr>
                <w:u w:val="single"/>
                <w:rtl w:val="0"/>
              </w:rPr>
              <w:t xml:space="preserve">aizgādņus</w:t>
            </w:r>
            <w:r w:rsidR="00000000" w:rsidRPr="00000000" w:rsidDel="00000000">
              <w:rPr>
                <w:rtl w:val="0"/>
              </w:rPr>
              <w:t xml:space="preserve"> izrauga mantojuma lietā ieinteresētās personas un, ja viņiem ir vajadzīgās īpašības, </w:t>
            </w:r>
            <w:r w:rsidR="00000000" w:rsidRPr="00000000" w:rsidDel="00000000">
              <w:rPr>
                <w:u w:val="single"/>
                <w:rtl w:val="0"/>
              </w:rPr>
              <w:t xml:space="preserve">apstiprina bāriņtiesa</w:t>
            </w:r>
            <w:r w:rsidR="00000000" w:rsidRPr="00000000" w:rsidDel="00000000">
              <w:rPr>
                <w:rtl w:val="0"/>
              </w:rPr>
              <w:t xml:space="preserve">. Bet, kad lietā ieinteresētās personas nevienu neieteic par aizgādni, </w:t>
            </w:r>
            <w:r w:rsidR="00000000" w:rsidRPr="00000000" w:rsidDel="00000000">
              <w:rPr>
                <w:u w:val="single"/>
                <w:rtl w:val="0"/>
              </w:rPr>
              <w:t xml:space="preserve">tad aizgādņus ieceļ pati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Notariāta likuma 316. pantu, atzīstot mantošanas iesniegumu par pamatotu, zvērināts notārs taisa </w:t>
            </w:r>
            <w:r w:rsidR="00000000" w:rsidRPr="00000000" w:rsidDel="00000000">
              <w:rPr>
                <w:u w:val="single"/>
                <w:rtl w:val="0"/>
              </w:rPr>
              <w:t xml:space="preserve">notariālo aktu par apstiprināšanu mantojuma tiesībās</w:t>
            </w:r>
            <w:r w:rsidR="00000000" w:rsidRPr="00000000" w:rsidDel="00000000">
              <w:rPr>
                <w:rtl w:val="0"/>
              </w:rPr>
              <w:t xml:space="preserve"> pēc likuma (mantojuma apliecību), kurā norāda, vai iesniedzējs ieguvis visu mantojumu kā vienīgais mantinieks vai arī kā līdzmantinieks noteiktu tā domājamo daļu. Turklāt, ja ir civiltiesisks strīds par mantošanas tiesībām, tad tiesa arī taisa spriedumu </w:t>
            </w:r>
            <w:r w:rsidR="00000000" w:rsidRPr="00000000" w:rsidDel="00000000">
              <w:rPr>
                <w:u w:val="single"/>
                <w:rtl w:val="0"/>
              </w:rPr>
              <w:t xml:space="preserve">par apstiprināšanu mantojuma tiesībās</w:t>
            </w:r>
            <w:r w:rsidR="00000000" w:rsidRPr="00000000" w:rsidDel="00000000">
              <w:rPr>
                <w:rtl w:val="0"/>
              </w:rPr>
              <w:t xml:space="preserve"> (sk., Civilprocesa likuma 401.panta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25-TA-714</w:t>
    </w:r>
    <w:r>
      <w:br/>
    </w:r>
    <w:r w:rsidR="00000000" w:rsidRPr="00000000" w:rsidDel="00000000">
      <w:rPr>
        <w:rtl w:val="0"/>
      </w:rPr>
      <w:t xml:space="preserve">Izdrukāts 11.04.2025.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25-TA-714</w:t>
    </w:r>
    <w:r>
      <w:br/>
    </w:r>
    <w:r w:rsidR="00000000" w:rsidRPr="00000000" w:rsidDel="00000000">
      <w:rPr>
        <w:rtl w:val="0"/>
      </w:rPr>
      <w:t xml:space="preserve">Izdrukāts 11.04.2025.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Atzinumi_25-TA-714.docx</dc:title>
</cp:coreProperties>
</file>

<file path=docProps/custom.xml><?xml version="1.0" encoding="utf-8"?>
<Properties xmlns="http://schemas.openxmlformats.org/officeDocument/2006/custom-properties" xmlns:vt="http://schemas.openxmlformats.org/officeDocument/2006/docPropsVTypes"/>
</file>