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8.4. </w:t>
            </w:r>
            <w:r w:rsidR="00000000" w:rsidRPr="00000000" w:rsidDel="00000000">
              <w:rPr>
                <w:rtl w:val="0"/>
              </w:rPr>
              <w:t xml:space="preserve">apakšpunktā</w:t>
            </w:r>
            <w:r w:rsidR="00000000" w:rsidRPr="00000000" w:rsidDel="00000000">
              <w:rPr>
                <w:rtl w:val="0"/>
              </w:rPr>
              <w:t xml:space="preserve"> minētajā aktivitātē transportlīdzeklis nav reģistrēts Latvijā ilgāk par 12 mēnešiem.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Auto asociācija konceptuāli atbalsta noteikumu projektu, bet iebilst pret noteikumu projekta 23.5. punktu un lūdz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izdots saskaņā ar Klimatnoturības un ekonomiskās ilgtspējas likuma 15. panta astotās daļas 2. punktu, savukārt minētā likuma 14. panta pirmās daļas 1. punkta “b” apakšpunkts paredz, ka Emisijas kvotu izsolīšanas instrumenta (turpmāk – EKII) finansējumu izmanto pasākumiem, lai pārietu uz zemu un nulles siltumnīcefekta gāzu emisiju transportlīdzekļu un sabiedriskā transporta plašāku izmantošanu. Arī noteikumu projekta 2. punkts konkursa mērķi definē kā siltumnīcefekta gāzu emisiju samazināšanas veicināšanu, atbalstot attiecīgo transportlīdzekļu ieviešanu Latvijā. Līdz ar to atbalsta piešķiršanas kritērijiem jābūt tieši un objektīvi saistītiem ar bezemisiju transportlīdzekļu faktiskas izmantošanas paplašināšanu, nevis ar formālu vienību skaita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23.5. punkts paredz, ka lietots transportlīdzeklis atbalsta saņemšanai nedrīkst būt reģistrēts Latvijā ilgāk par 12 mēnešiem. Šāds kritērijs nav saistīts ar konkursa un EKII finansējuma izmantošanas mērķi, jo transportlīdzekļa agrāka vai vēlāka reģistrācija Latvijā pati par sevi neietekmē ne tā radītās emisijas, ne tehnisko atbilstību, ne ieguldījumu bezemisiju transportlīdzekļu plašākā izmantošanā. Pretēji tam šāds nosacījums var nepamatoti sašaurināt lietotu bezemisiju transportlīdzekļu pieejamību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14.</w:t>
            </w:r>
            <w:r w:rsidR="00000000" w:rsidRPr="00000000" w:rsidDel="00000000">
              <w:rPr>
                <w:vertAlign w:val="superscript"/>
                <w:rtl w:val="0"/>
              </w:rPr>
              <w:t xml:space="preserve">1</w:t>
            </w:r>
            <w:r w:rsidR="00000000" w:rsidRPr="00000000" w:rsidDel="00000000">
              <w:rPr>
                <w:rtl w:val="0"/>
              </w:rPr>
              <w:t xml:space="preserve"> panta pirmās daļas 1. punkts noteic, ka tiešās pārvaldes un pastarpinātās pārvaldes iestādei, kā arī kapitālsabiedrībai, kurā publiskai personai ir izšķiroša ietekme, aizliegts ar savu darbību kavēt, ierobežot vai deformēt konkurenci, kas var izpausties arī kā tirgus dalībnieku diskriminācija, radot atšķirīgus konkurences apstākļus. Noteikumu projekta 23.5. punkts rada šādus atšķirīgus konkurences apstākļus lietotu elektroautomobiļu tirgū, jo tas nostāda nelabvēlīgākā situācijā tos tirgotājus, kuri pārdod Latvijā jau reģistrētus elektroautomobiļus, salīdzinājumā ar tirgotājiem, kuri piedāvā importētus vai nesen Latvijā reģistrētus elektroautomobiļus. Šī atšķirīgā attieksme izpaužas cenu konkurencē, proti, uz importētiem vai nesen reģistrētiem lietotiem elektroautomobiļiem var attiecināt EKII atbalstu un attiecīgi šā atbalsta ekonomisko efektu var iestrādāt gala pārdošanas cenā, piedāvājot pircējam zemāku faktisko iegādes cenu. Savukārt tirgotāji, kuri pārdod Latvijā ilgāk par 12 mēnešiem reģistrētus elektroautomobiļus, šādu iespēju zaudē, kaut arī to pārdotie transportlīdzekļi pēc būtības var būt salīdzināmi ar importētajiem transportlīdzekļiem vecuma, nobraukuma, tehniskā stāvokļa un klimata mērķa sasniegšanas ziņā. Līdz ar to 23.5. punkts nevis neitrāli nosaka vispārīgu atbalsta pieejamības kritēriju, bet faktiski piešķir konkurences priekšrocību konkrētam tirgus segmentam — importēto lietoto elektroautomobiļu segmentam. Šāda priekšrocība nav balstīta uz objektīvām atšķirībām, kas būtu tieši saistītas ar EKII programmas mērķi samazināt siltumnīcefekta gāzu emisijas, bet gan uz formālu kritēriju par iepriekšējās reģistrācijas ilgumu Latvijā. Tādēļ 23.5. punkts rada konkurences deformāciju un ir vērtējams kā neatbilstošs Konkurences likuma 14.</w:t>
            </w:r>
            <w:r w:rsidR="00000000" w:rsidRPr="00000000" w:rsidDel="00000000">
              <w:rPr>
                <w:vertAlign w:val="superscript"/>
                <w:rtl w:val="0"/>
              </w:rPr>
              <w:t xml:space="preserve">1</w:t>
            </w:r>
            <w:r w:rsidR="00000000" w:rsidRPr="00000000" w:rsidDel="00000000">
              <w:rPr>
                <w:rtl w:val="0"/>
              </w:rPr>
              <w:t xml:space="preserve"> panta pirmās daļas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Transportlīdzekļa ekspluatācijas nodokļa un uzņēmumu vieglo transportlīdzekļu nodokļa likuma 14. panta pirmās daļas 3. punkts un 1.</w:t>
            </w:r>
            <w:r w:rsidR="00000000" w:rsidRPr="00000000" w:rsidDel="00000000">
              <w:rPr>
                <w:vertAlign w:val="superscript"/>
                <w:rtl w:val="0"/>
              </w:rPr>
              <w:t xml:space="preserve">1</w:t>
            </w:r>
            <w:r w:rsidR="00000000" w:rsidRPr="00000000" w:rsidDel="00000000">
              <w:rPr>
                <w:rtl w:val="0"/>
              </w:rPr>
              <w:t xml:space="preserve"> daļa demonstrācijas transportlīdzekļus atzīst par atsevišķu, tiesiski identificējamu kategoriju, turklāt paredzot, ka tie ir jauni transportlīdzekļi, kas lietoti mazāk par sešiem mēnešiem vai nobraukuši mazāk par 6000 kilometriem un tiek izmantoti izmēģinājumu braucieniem, lai veicinātu jaunu automobiļu pārdošanu. Arī Uzņēmumu ienākuma nodokļa likuma 1. panta septiņpadsmitās daļas 1. punkts un Pievienotās vērtības nodokļa likuma 1. panta 9. punkta “a” apakšpunkts izmanto to pašu pieeju attiecībā uz demonstrācijas automobiļiem un jauna transportlīdzekļa izpratni. Valsts ieņēmumu dienesta metodiskajā materiālā ir skaidrots, ka transportlīdzeklis ir uzskatāms par jaunu, ja izpildās vismaz viens no kritērijiem attiecībā uz lietošanas ilgumu vai nobraukumu, piemēram, transportlīdzeklis, kas lietots vairāk kā 6 mēnešus un nobraucis mazāk par 6000 km joprojām tiek uzskatīts par jaunu transportlīdzekli un joprojām var tikt uzskatīts par demonstrācijas automobili. Līdz ar to iespējama situācija, ka transportlīdzeklis joprojām kvalificējas kā jauns pēc Pievienotās vērtības nodokļa likuma un pēc noteikumu projekta 8.1. punkta, taču vienlaikus vairs nekvalificējas EKII atbalstam tikai tādēļ, ka pārdošanas brīdī ir pārsniegts noteikumu projekta 23.5. punktā paredzētais 12 mēnešu reģistrācijas termiņš Latvijā. Tas rada nevajadzīgu interpretācijas un piemērošanas kolīziju paša regulējuma ietvarā. Papildus norādāms, ka atbilstoši Valsts akciju sabiedrība "Ceļu satiksmes drošības direkcija" sniegtajai informācijai, 2026. gada 15. aprīlī Latvijā reģistrēti 416 demonstrācijas automobiļi, no kuriem 84 bija elektromobiļi, kas veido vairāk kā 20 % no kopējā demonstrācijas automobiļu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Analogs efekts ir operatīvā līzinga un ilgtermiņa nomas segmentā. Ja persona iegādājas elektromobili operatīvajā līzingā un pēc 36–48 mēnešiem to pārdod atpakaļ transportlīdzekļa pārdevējam, 12 mēnešu slieksnis samazina šā auto atlikušo tirgus vērtību, jo to vairs nevar realizēt ar EKII atbalsta priekšrocību. Tajā pašā laikā importēts salīdzināms lietots elektromobilis var tikt realizēts ar atbalstu. Tas samazina pārdevēja motivāciju atpirkt Latvijā jau lietotu elektromobili par ekonomiski pamatotu atlikušo vērtību, kavē klienta pāreju uz nākamo jauno bezemisiju transportlīdzekli un līdz ar to mazina pašas programmas efektu. Tādēļ 23.5. punkta pašreizējā redakcija arī praktiski darbojas pretēji EKII programmas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23.5. punktu svītrot vai precizēt, paredzot, ka 12 mēnešu reģistrācijas slieksnis nav attiecināms uz demonstrācijas transportlīdzekļiem un transportlīdzekļiem, kas iepriekš lietoti ilgtermiņa nomas vai operatīvā līzinga ietvaros līdz 36 vai 48 mēnešiem. Vienlaikus jāatzīst, ka šādu izņēmumu piemērošanai būs nepieciešama skaidra pārbaudes metode, lai Sabiedrība ar ierobežotu atbildību "Vides investīciju fonds" varētu pārliecināties par konkrētā transportlīdzekļa statusu. Tādēļ alternatīvi vienkāršāks un administratīvi vieglāk piemērojams risinājums būtu palielināt 12 mēnešu reģistrācijas slieksni līdz 36 vai 48 mēnešiem, kas atbilst operatīvā līzinga atpakaļpirkumu ciklam un vienlaikus mazina 23.5. punkta konkurenci kropļojošo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Lipšāns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25-TA-2646</w:t>
    </w:r>
    <w:r>
      <w:br/>
    </w:r>
    <w:r w:rsidR="00000000" w:rsidRPr="00000000" w:rsidDel="00000000">
      <w:rPr>
        <w:rtl w:val="0"/>
      </w:rPr>
      <w:t xml:space="preserve">Izdrukāts 16.04.2026. 22.25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25-TA-2646</w:t>
    </w:r>
    <w:r>
      <w:br/>
    </w:r>
    <w:r w:rsidR="00000000" w:rsidRPr="00000000" w:rsidDel="00000000">
      <w:rPr>
        <w:rtl w:val="0"/>
      </w:rPr>
      <w:t xml:space="preserve">Izdrukāts 16.04.2026. 22.25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Atzinumi_25-TA-2646.docx</dc:title>
</cp:coreProperties>
</file>

<file path=docProps/custom.xml><?xml version="1.0" encoding="utf-8"?>
<Properties xmlns="http://schemas.openxmlformats.org/officeDocument/2006/custom-properties" xmlns:vt="http://schemas.openxmlformats.org/officeDocument/2006/docPropsVTypes"/>
</file>