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283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23.11.7. neformālās izglītības programmas apguvei šo noteikumu 21.9. apakšpunktā minētās atbalstāmās darbības īstenošanai, nepārsniedzot atbildīgās iestādes apstiprinātajā vienkāršoto izmaksu metodikā, kas saskaņota ar vadošo iestādi, noteikto vienas mācību stundas izmaksu vērtību par vienu nodarbināto un viena nodarbinātā kopējās izmaksas neformālās izglītības programmu apguvei.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vienas mācību stundas izmaksu vērtība par vienu nodarbināto nedrīkst būt nekonkrēta summa (it īpaši gadījumā, ja ir izstrādāta vienkāršoto izmaksu metodika). Proti, Ministru kabineta 2024. gada 7. maija noteikumu Nr. 283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 (turpmāk - noteikumi Nr. 283) plānotajā 23.11.7. apakšpunkta redakcijā nevar tikt iekļauta norāde uz to, ka finansējuma saņēmēja pakalpojumu (uzņēmuma līgumu) izmaksas neformālās izglītības programmas apguvei noteikumu Nr. 283 21.9. apakšpunktā minētās atbalstāmās darbības īstenošanai </w:t>
            </w:r>
            <w:r w:rsidR="00000000" w:rsidRPr="00000000" w:rsidDel="00000000">
              <w:rPr>
                <w:b w:val="1"/>
                <w:u w:val="single"/>
                <w:rtl w:val="0"/>
              </w:rPr>
              <w:t xml:space="preserve">nepārsniedz</w:t>
            </w:r>
            <w:r w:rsidR="00000000" w:rsidRPr="00000000" w:rsidDel="00000000">
              <w:rPr>
                <w:rtl w:val="0"/>
              </w:rPr>
              <w:t xml:space="preserve"> atbildīgās iestādes apstiprinātajā vienkāršoto izmaksu metodikā, kas saskaņota ar vadošo iestādi, noteikto vienas mācību stundas izmaksu vērtību par vienu nodarbināto un viena nodarbinātā kopējās izmaksas neformālās izglītības programmu apguvei.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attiecīgās normas redakcijas izriet, ka tiek pieļauta iespējamība, ka vienkāršoto izmaksu metodikā veiktais aprēķins ir nekorekts.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noteikumu Nr. 283 23.11.7. apakšpunktu, piemēram, saglabājot tā spēkā esošo redakciju, un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Projekta īstenošanas uzraudzībai saskaņā ar Eiropas Savienības fondu 2021.–2027. gada plānošanas perioda vadības likumu, tai skaitā finansējuma saņēmēja iesniegto projekta īstenošanas gaitas pārskatu izvērtēšanai, sasniegto iznākuma un rezultātu rādītāju izpildes progresa novērtējumam, projekta ieviešanas problēmu un risku identificēšanai un konstatēto risku un problēmu novēršanai, kā arī projekta īstenošanas nosacījumu pilnveidei atbildīgā iestāde pēc nepieciešamības, bet ne retāk kā divas reizes gadā organizē atbildīgās iestādes un finansējuma saņēmēja starpinstitūciju sanāksmes par projekta ieviešanas progresu un citiem ar projekta īstenošanu un uzraudzību saistītiem jautājumiem. Ja nepieciešams, sanāksmēs var pieaicināt Labklājības ministrijas, Ekonomikas ministrijas, Latvijas Pašvaldību savienības, Latvijas Darba devēju konfederācijas, Latvijas Brīvo arodbiedrību savienības, Latvijas Pieaugušo izglītības apvienības un plānošanas reģionu pārstāvjus.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2025. gada 21. februārī Ministru prezidentes Evikas Siliņas paziņotās valdības 4x4 prioritātes 2025. gadam, ikgadējā ziņojumā Saeimai iekļauto apņemšanos 2025. gadā turpināt darbu pie birokrātijas mazināšanas pasākumiem Eiropas Savienības fondu apguvē un publisko iepirkumu jomā un 2024. gada 20. janvārī apstiprinātā Valdības rīcības plāna 35.4. pasākuma darbības rezultātu “</w:t>
            </w:r>
            <w:r w:rsidR="00000000" w:rsidRPr="00000000" w:rsidDel="00000000">
              <w:rPr>
                <w:i w:val="1"/>
                <w:rtl w:val="0"/>
              </w:rPr>
              <w:t xml:space="preserve">pārskatītas un iespēju robežās mazinātas nacionālajos horizontālajos un specifisko atbalsta mērķu ieviešanu regulējošajos normatīvajos aktos noteiktās prasības</w:t>
            </w:r>
            <w:r w:rsidR="00000000" w:rsidRPr="00000000" w:rsidDel="00000000">
              <w:rPr>
                <w:rtl w:val="0"/>
              </w:rPr>
              <w:t xml:space="preserve">”, aicinām izvērtēt noteikumu Nr. 283 38. punkta un 44.8. apakšpunkta nepieciešamību. Vēršam uzmanību, ka saskaņā ar Eiropas Savienības fondu 2021.—2027. gada plānošanas perioda vadības likuma 12. panta trešās daļas 7. punktu </w:t>
            </w:r>
            <w:r w:rsidR="00000000" w:rsidRPr="00000000" w:rsidDel="00000000">
              <w:rPr>
                <w:u w:val="single"/>
                <w:rtl w:val="0"/>
              </w:rPr>
              <w:t xml:space="preserve">sadarbības iestādei</w:t>
            </w:r>
            <w:r w:rsidR="00000000" w:rsidRPr="00000000" w:rsidDel="00000000">
              <w:rPr>
                <w:rtl w:val="0"/>
              </w:rPr>
              <w:t xml:space="preserve"> ir pienākums </w:t>
            </w:r>
            <w:r w:rsidR="00000000" w:rsidRPr="00000000" w:rsidDel="00000000">
              <w:rPr>
                <w:i w:val="1"/>
                <w:rtl w:val="0"/>
              </w:rPr>
              <w:t xml:space="preserve">nodrošināt projektu īstenošanas uzraudzību un kontroli, projektu mērķu un iznākuma rādītāju sasniegšanas uzraudzību, analizēt problēmas projektu īstenošanā un iesniegt atbildīgajai iestādei, vadošajai iestādei un uzraudzības komitejai priekšlikumus par projektu īstenošanas uzlabošanu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iepriekš minēto, lūdzam arī izvērtēt un svītrot noteikumu Nr. 283 plānotajā 61. punkta redakcijā norādi uz to, ka </w:t>
            </w:r>
            <w:r w:rsidR="00000000" w:rsidRPr="00000000" w:rsidDel="00000000">
              <w:rPr>
                <w:u w:val="single"/>
                <w:rtl w:val="0"/>
              </w:rPr>
              <w:t xml:space="preserve">Ekonomikas ministrijas izveidotā komisija</w:t>
            </w:r>
            <w:r w:rsidR="00000000" w:rsidRPr="00000000" w:rsidDel="00000000">
              <w:rPr>
                <w:rtl w:val="0"/>
              </w:rPr>
              <w:t xml:space="preserve"> veic regulāru projekta īstenošanas rezultātu  novērtējumu un rezultatīvo rādītāju sasniegšanas analīzi un novērtē to ietekmi uz nacionālajos un starptautiskajos dokumentos noteikto mērķu sasniegšanu. Vēršam uzmanību, ka minētās komisijas funkcijas pārklājas ar sadarbības iestādes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Finansējuma saņēmējs projekta īstenošanas laikā nodrošina interešu konflikta neesību saskaņā ar Eiropas Parlamenta un Padomes 2024. gada 23. septembra Regula (ES, Euratom) 2024/2509 par finanšu noteikumiem, ko piemēro Savienības vispārējam budžetam (pārstrādāta redakcija) 61. panta prasībām,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Nr. 283 56. punkta nepieciešamību, ņemot vērā gan konkrētā specifiskā atbalsta mērķa projekta veidu, gan arī to, ka Eiropas Parlamenta un Padomes 2024. gada 23. septembra Regulas (ES, Euratom) 2024/2509 par finanšu noteikumiem, ko piemēro Savienības vispārējam budžetam (pārstrādātā redakcija), 61. panta prasības ir tieši piemērojamas tādiem projektiem, kas saistīti ar Eiropas Savienības fondu atbalsta saņemšanu un vienlaikus kuros atbilstoši specifiskā atbalsta mērķim finansējuma saņēmējs atlases kārtībā Eiropas Savienības fondu dalībniekiem vai gala saņēmējiem sniedz finansiālu atbalstu (t.s.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Šo noteikumu </w:t>
            </w:r>
            <w:r w:rsidR="00000000" w:rsidRPr="00000000" w:rsidDel="00000000">
              <w:rPr>
                <w:rtl w:val="0"/>
              </w:rPr>
              <w:t xml:space="preserve">32.</w:t>
            </w:r>
            <w:r w:rsidR="00000000" w:rsidRPr="00000000" w:rsidDel="00000000">
              <w:rPr>
                <w:rtl w:val="0"/>
              </w:rPr>
              <w:t xml:space="preserve"> punktā minētais nosacījums par mērķa grupas personas iesnieguma iesniegšanu ārpus formālās izglītības sistēmas apgūtās profesionālās kompetences novērtēšanas izmaksu kompensēšanai ir attiecināms no 2025. gada 1. janvāra.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Nr. 283 plānotā 62. punktā minēto par izmaksu kompensēšanas nosacījuma attiecināšanas termiņu. Proti, lūdzam izvērtēt, vai noteikumu Nr. 283 32. punktā minētais nosacījums par mērķa grupas personas iesnieguma iesniegšanu ārpus formālās izglītības sistēmas apgūtās profesionālās kompetences novērtēšanas izmaksu kompensēšanai viss kopumā ir attiecināms no 2025. gada 1. janvāra, vai tikai 32. punktā plānotie grozījumi par personas iesnieguma iesniegšanu sešu mēnešu laikā no ārpus formālās izglītības sistēmas apgūtās profesionālās kompetences novērtēšanas dienas. Vēršam uzmanību, ka no plānotās 62. punkta redakcijas izriet, ka noteikumu Nr. 283 32. punktā ietvertais nosacījums par izmaksu piešķiršanu, pamatojoties uz personas iesniegumu, viss kopumā ir attiecināms no 2025. gada 1. janvāra, t.i. var radīt interpretāciju, ka izmaksas, kas veiktas pirms šī datuma, ir kopumā neattiecināmas.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25-TA-788</w:t>
    </w:r>
    <w:r>
      <w:br/>
    </w:r>
    <w:r w:rsidR="00000000" w:rsidRPr="00000000" w:rsidDel="00000000">
      <w:rPr>
        <w:rtl w:val="0"/>
      </w:rPr>
      <w:t xml:space="preserve">Izdrukāts 10.06.2025.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25-TA-788</w:t>
    </w:r>
    <w:r>
      <w:br/>
    </w:r>
    <w:r w:rsidR="00000000" w:rsidRPr="00000000" w:rsidDel="00000000">
      <w:rPr>
        <w:rtl w:val="0"/>
      </w:rPr>
      <w:t xml:space="preserve">Izdrukāts 10.06.2025.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Atzinumi_25-TA-788.docx</dc:title>
</cp:coreProperties>
</file>

<file path=docProps/custom.xml><?xml version="1.0" encoding="utf-8"?>
<Properties xmlns="http://schemas.openxmlformats.org/officeDocument/2006/custom-properties" xmlns:vt="http://schemas.openxmlformats.org/officeDocument/2006/docPropsVTypes"/>
</file>