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redakcionāli precizēt 1.tabulā “Politikas mērķi un specifiskie atbalsta mērķi” 4.2.3.SAM (ESO 4.6.) aprakstu, vārdus “sociālās iekļaušanai” aizstājot ar vārdiem “sociālajai iekļaušanai”.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31. tabulā “Komisijas nodrošināta attiecināmo izdevumu atlīdzināšana dalībvalstij, pamatojoties uz vienas vienības izmaksām, vienreizējiem maksājumiem un vienotām likmēm – 4.3.3. SAM” iekļautā 4.3.3.1. pasākuma “Bezdarbnieku, darba meklētāju un bezdarba riskam pakļauto personu kvalifikācijas un prasmju paaugstināšana" vienības izmaksu standarta likmes piemērošanas metodika ir saskaņošanas procesā ar Finanšu ministriju, aicinām pēc minētās metodikas saskaņošanas Programmas 31. tabulā ietvert aktuālāko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“Tematiskais priekšnosacījums Nr.13 (4.4.) Valsts stratēģiskās politikas satvars sociālās iekļaušanas un nabadzības mazināšanas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4.pielikumu papildināt ar atrunu, ka Sociālās iekļaušanas politikas koordinācijas komiteja pārvalda atbalstāmo darbību īstenošanu 4.3.4.1. pasākumā "Vienlīdzīgu iespēju un nediskriminācijas veicināšana". Līdzīga atruna par deinstitucionalizācijas projektu uzraudzību ir minēta 4.pielikumā kā Sociālo pakalpojumu attīstības padomes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 gada 18. decembrī ka Sociālās iekļaušanas politikas koordinācijas Komitejas nolikums bija papildināts ar šī pasākuma pārvaldības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 “3.4. iepazīstas ar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ieviešanas progresu un sniedz priekšlikumus tā ieviešanas pilnveidei, saskaņojot 4.3.4.1. pasākuma īstenošanas ietvaros izstrādājamo: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e–mācību programmu par vienlīdzīgu iespēju un nediskriminācijas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mācību programmu par iekļaujošas darba vides un diskriminācijas novēršanas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izmēģinājumprojekta par darba samaksas atšķirībām starp sievietēm un vīriešiem izvērtējumu un izmēģinājumprojektā iesaistāmās valsts un pašvaldību iestādes un to kapitālsabiedrības, biedrības, nodibinājumus, mikrouzņēmumus, mazos vai vidējos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 tiek veikti arī MK 13.07.2023. Noteikumos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 (24-TA-3336).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