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kompensāciju par Covid-19 vakcīnas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vakcinācija ar Covid-19 vakcīnu iekļauta rutīnas sabiedrības vakcinācijas shēmās un  valstij nepieciešamību uzturēt garantijas mehānismu gadījumā, ja Covid-19 vakcīnas blakusparādības dēļ pacienta veselībai vai dzīvībai ir radies smags vai vidēji smags kaitējums, nosakot kārtību un prasības, kādā pacientam piešķir kompensāciju, lūdzam papildināt anotāciju un skaidrot gadījumus, kad pēc vakcinācijas ar reģistrētu Covid-19 vakcīnu cilvēkam ir veselības problēmas, bet simptomi (slimība) nav šīs Covid-19 vakcīnas apstiprināto blakusparādību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vakcīnas ir salīdzinoši jaunas un visas iespējamās blaknes varētu nebūt izpētītas un aprakstītas. Šajā gadījumā būtu jāvērtē cēloņsakarība par iespējamo kaitējuma saistību ar vakcīnu. Lai neizslēgtu šādus gadījumus, lūdzam izvērtēt nepieciešamību vienlaikus precizēt arī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12.12.2023.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12.12.2023.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Atzinumi_23-TA-2782.docx</dc:title>
</cp:coreProperties>
</file>

<file path=docProps/custom.xml><?xml version="1.0" encoding="utf-8"?>
<Properties xmlns="http://schemas.openxmlformats.org/officeDocument/2006/custom-properties" xmlns:vt="http://schemas.openxmlformats.org/officeDocument/2006/docPropsVTypes"/>
</file>