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"(4</w:t>
            </w:r>
            <w:r w:rsidR="00000000" w:rsidRPr="00000000" w:rsidDel="00000000">
              <w:rPr>
                <w:vertAlign w:val="superscript"/>
                <w:rtl w:val="0"/>
              </w:rPr>
              <w:t xml:space="preserve">1</w:t>
            </w:r>
            <w:r w:rsidR="00000000" w:rsidRPr="00000000" w:rsidDel="00000000">
              <w:rPr>
                <w:rtl w:val="0"/>
              </w:rPr>
              <w:t xml:space="preserve">) Pārvadātājs, kas reģistrēts kā individuālais komersants, pasažieru komercpārvadājumu veikšanai ar vieglo automobili var izmantot transportlīdzekli, kuram kā turētājs reģistrēta fiziskā persona, kura ir pieteikusi šī komersanta ierakstīšanu komercreģistrā, ja ir saņemta vieglā automobiļa īpašnieka piekrišana vieglā automobiļa izmantošanai pasažieru komercpārvadājumiem.".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likumprojekta 2. 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iespēju individuālajam komersantam izmantot pasažieru komercpārvadājumos līzingā iegādātu automobili, ja tam piekrīt automobiļa īpašnieks. Taču pašreizējā redakcijā nav skaidrs, kā šī piekrišana tiks apliecināta un pārbaudīta.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jānosaka, ka īpašnieka piekrišana ir rakstveida. Anotācijā tas jau ir pateikts, bet likuma tekstā šīs prasības nav. Lūdzam Autopārvadājumu likuma 29. panta jaunajā 4.¹ daļā vārdus “īpašnieka piekrišana” aizstāt ar vārdiem “īpašnieka rakstveida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FNA ieskatā, vienlaikus ir nepieciešams grozīt Ministru kabineta 27.08.2019. noteikumus Nr. 389 “Noteikumi par pasažieru komercpārvadājumiem ar vieglo automobili”. Pašlaik tie neparedz, ka pārvadātājam, pieprasot licences kartīti, jāiesniedz īpašnieka piekrišana vai, ka Autotransporta direkcijai tā jāpārbauda. Lūdzam izvērtēt priekšlikumu noteikt pienākumu piekrišanu iesniegt kopā ar licences kartītes pieteikumu un paredzēt tās pārbaudi pirms kartītes izsniegšanas. FNA ieskatā būtu nepieciešams arī noteikt rīcību gadījumā, ja īpašnieks piekrišanu vēlāk atsauc. Pretējā gadījumā īpašnieka piekrišana paliks par prasību, kuras izpildi licences kartītes izsniegšanas laikā neviens nepārbauda.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anotācijas 2.5. apakšsadaļu. Tajā norādīts, ka par piekrišanas izsniegšanu komisijas maksa netiek piemērota. Piekrišanas izsniegšanas izmaksas ir noteiktas katras no līzinga sabiedrībām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29.09.2026.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29.09.2026.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