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mērķis ir veicināt daudzdzīvokļu dzīvojamo māju atjaunošanu, Asociācija rosina vērtēt Ekonomikas ministrijai, vai ar attiecīgo likumprojektu šis mērķis tomēr ir sasniedzams saprātīgā laikā, ņemot vērā dažādu Eiropas Savienības instrumentu pieejamības termiņus, un vai tomēr nav nepieciešams kopā ar sadarbības partneriem un politikas veidotājiem meklēt citus risinājumus, kas veicinātu šo mērķu sasniegšanu. Alternatīvajiem vai papildu risinājumiem šī mērķa sasniegšanai nebūt nav jābūt tādiem, kas izslēdz šī likumprojekta turpmāko virzību. Asociācija ir gatava sadarboties ar ministriju un politikas veidotājiem, lai kopīgi meklētu risinājumus likumprojekta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ministrijai par Asociācijas apsvērumu iekļaušanu sagatavotajā likumprojektā. Šī likumprojekta tvērumā, Asociācija lūdz precizēt anotācijas 1.3.sadaļas "Problēmas apraksts"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ņemams vērā apstāklis, ka gadījumos, kad dzīvokļu īpašnieku kopība kopsapulcē lemj par dalību energoefektivitātes projektos, kuros plānots piesaistīt kredītiestādi aizņēmuma saņemšanai, neatkarīgi no dzīvokļu īpašnieka skaita, kas piedalās lēmumu pieņemšanā, kredītiestādēm ir būtiska ikviena dzīvokļa īpašnieka apņemšanās izpildīt finanšu saistības. Tādi gadījumi, kad aizņēmuma piesaistīšanai balsojumos piedalās mazs dzīvokļu īpašnieku skaits, no kredītiestāžu puses var tikt vērtēti kā risku paaugstinošs faktors, un ņemot vērā aizdevumu termiņu daudzdzīvokļu dzīvojamo māju energoefektivitātes pasākumu veikšanai (10-20 gadi), var būt situācijas, kad kredītiestādes šādu paaugstinātu risku uzņemties nevarēs.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14.12.2022.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14.12.2022.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Atzinumi_22-TA-2887.docx</dc:title>
</cp:coreProperties>
</file>

<file path=docProps/custom.xml><?xml version="1.0" encoding="utf-8"?>
<Properties xmlns="http://schemas.openxmlformats.org/officeDocument/2006/custom-properties" xmlns:vt="http://schemas.openxmlformats.org/officeDocument/2006/docPropsVTypes"/>
</file>