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apakšsadaļā veiktos precizējumus. Vēršam uzmanību, ka atbilstoši 5.4. apakšsadaļas 1. tabulas Eiropas Parlamenta un Padomes 2021. gada 2. decembra Regulas (ES) 2021/2116 par kopējās lauksaimniecības politikas finansēšanu, pārvaldību un uzraudzību un ar ko atceļ Regulu (ES) Nr. 1306/2013 (turpmāk - regula 2021/2116) sadaļas skaidrojumiem projekta 1. punkts neievieš regulas 2021/2116 72. punktu. Proti, minēto vienību "</w:t>
            </w:r>
            <w:r w:rsidR="00000000" w:rsidRPr="00000000" w:rsidDel="00000000">
              <w:rPr>
                <w:i w:val="1"/>
                <w:rtl w:val="0"/>
              </w:rPr>
              <w:t xml:space="preserve">turpina ieviest Lauku atbalsta dienests, kurš pamatojoties uz Ministru kabineta 2024. gada 13. septembra rīkojumu Nr. 743 "Par Lauksaimniecības datu centra likvidāciju" pārņem Lauksaimniecības datu centra funkcijas un ir norādīts noteikumu Nr. 50 7.3. apakšpunktā</w:t>
            </w:r>
            <w:r w:rsidR="00000000" w:rsidRPr="00000000" w:rsidDel="00000000">
              <w:rPr>
                <w:rtl w:val="0"/>
              </w:rPr>
              <w:t xml:space="preserve">". Attiecīgi no sniegtajiem skaidrojumiem saprotams, ka anotācijas 5.4. apakšsadaļas 1. tabulas regulas 2021/2116 sadaļas "B" ailē norādāms Ministru kabineta 2023. gada 31. janvāra noteikumu Nr. 50 "Kārtība, kādā administrē un uzrauga Eiropas Lauksaimniecības garantiju fondu un Eiropas Lauksaimniecības fondu lauku attīstībai, kā arī valsts un Eiropas Savienības atbalstu lauksaimniecībai un lauku attīstībai 2023.–2027. gada plānošanas periodā" 7.3.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