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23-TA-2071: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1.kārtas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19.4.apakšpunktā izriet, ka Eiropas Kosmosa aģentūras Latvijas Biznesa inkubācijas centram, iesniedzot projekta pieteikumu, jāatbilst Eiropas Savienības fondu 2021.—2027.gada plānošanas perioda vadības likuma 22.pantā noteiktajiem izslēgšanas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w:t>
            </w:r>
            <w:r w:rsidR="00000000" w:rsidRPr="00000000" w:rsidDel="00000000">
              <w:rPr>
                <w:i w:val="1"/>
                <w:rtl w:val="0"/>
              </w:rPr>
              <w:t xml:space="preserve">ex-ante</w:t>
            </w:r>
            <w:r w:rsidR="00000000" w:rsidRPr="00000000" w:rsidDel="00000000">
              <w:rPr>
                <w:rtl w:val="0"/>
              </w:rPr>
              <w:t xml:space="preserve">) novērtējuma ziņojuma (anotācijā) (turpmāk – anotācija) 1.3.sadaļas apakšsadaļā “Projekta īstenošanas un finansējuma saņemšanas nosacījumi” norādīts, ka Eiropas Savienības fondu 2021.–2027.gada plānošanas perioda vadības likuma 22.pantā ietverto izslēgšanas nosacījumu kontrole tiek veikta, tostarp pārbaudot attiecīgās personas sodāmību Iekšlietu ministrijas Informācijas centra pārziņā esošajā valsts informācijas sistēmā “Sodu reģistrs” (saņemot informāciju izziņas veidā) saskaņā ar zemāk norādītajām normām, kas ir ietvertas turpat anotācijā iekļautajā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Eiropas Savienības fondu 2021.–2027.gada plānošanas perioda vadības likuma 22.pantā nav ietverti tādi izslēgšanas nosacījumi (kritēriji)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“krāpšana automatizētā datu apstrādes sistēmā” (Krimināllikuma 177.</w:t>
            </w:r>
            <w:r w:rsidR="00000000" w:rsidRPr="00000000" w:rsidDel="00000000">
              <w:rPr>
                <w:vertAlign w:val="superscript"/>
                <w:rtl w:val="0"/>
              </w:rPr>
              <w:t xml:space="preserve">1</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“apdrošināšanas krāpšana” (Krimināllikuma 178.pants);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“preču un vielu, kuru aprite ir aizliegta vai speciāli reglamentēta, pārvietošana pāri Latvijas Republikas valsts robežai” (Krimināllikuma 190.</w:t>
            </w:r>
            <w:r w:rsidR="00000000" w:rsidRPr="00000000" w:rsidDel="00000000">
              <w:rPr>
                <w:vertAlign w:val="superscript"/>
                <w:rtl w:val="0"/>
              </w:rPr>
              <w:t xml:space="preserve">1</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“neatļauta piedalīšanās mantiskos darījumos” (Krimināllikuma 326.pants).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anotācijas 1.3.sadaļas apakšsadaļā “Komercdarbības atbalsta saņemšanas nosacījumi” ietverto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w:t>
            </w:r>
            <w:r w:rsidR="00000000" w:rsidRPr="00000000" w:rsidDel="00000000">
              <w:rPr>
                <w:i w:val="1"/>
                <w:rtl w:val="0"/>
              </w:rPr>
              <w:t xml:space="preserve">ex-ante</w:t>
            </w:r>
            <w:r w:rsidR="00000000" w:rsidRPr="00000000" w:rsidDel="00000000">
              <w:rPr>
                <w:rtl w:val="0"/>
              </w:rPr>
              <w:t xml:space="preserve">) novērtējuma ziņojuma (anotācijā) (turpmāk – anotācija) 1.3.sadaļas apakšsadaļā “Projekta īstenošanas un finansējuma saņemšanas nosacījumi” norādīts, ka LIAA pārliecinās, ka uz nozares ekspertiem, ar kuriem slēgts ārpakalpojuma līgums, nav attiecināmi projekta 61.punktā minētie izslēgšanas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61.punktā nav norādīti jebkādi izslēgšanas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projekta anotācijas 1.3.sadaļas apakšsadaļā “Projekta īstenošanas un finansējuma saņemšanas nosacījumi” ietvertās atsauces uz projekta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23-TA-2071</w:t>
    </w:r>
    <w:r>
      <w:br/>
    </w:r>
    <w:r w:rsidR="00000000" w:rsidRPr="00000000" w:rsidDel="00000000">
      <w:rPr>
        <w:rtl w:val="0"/>
      </w:rPr>
      <w:t xml:space="preserve">Izdrukāts 27.03.2024. 17.11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23-TA-2071</w:t>
    </w:r>
    <w:r>
      <w:br/>
    </w:r>
    <w:r w:rsidR="00000000" w:rsidRPr="00000000" w:rsidDel="00000000">
      <w:rPr>
        <w:rtl w:val="0"/>
      </w:rPr>
      <w:t xml:space="preserve">Izdrukāts 27.03.2024. 17.11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Atzinumi_23-TA-2071.docx</dc:title>
</cp:coreProperties>
</file>

<file path=docProps/custom.xml><?xml version="1.0" encoding="utf-8"?>
<Properties xmlns="http://schemas.openxmlformats.org/officeDocument/2006/custom-properties" xmlns:vt="http://schemas.openxmlformats.org/officeDocument/2006/docPropsVTypes"/>
</file>