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atbalstu Latvijas sīkajiem, mazajiem un vidējiem komersantiem, lai izstrādātu jaunus tūrisma produktus vai pakalpojumus ar augstāku pievienoto vērtību, tādējādi veicinot tūrisma nozares eksportspējas pieaugumu un paaugstinot to konkurētspēju starptautiskā mērogā.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2.3. apakšpunktam normatīvā akta projekta tekstu raksta normatīvajiem aktiem atbilstošā vienotā stilistikā, izmantojot vienveidīgas un standartizētas vārdiskās izteiksmes. Ievērojot minēto, lūdzam saskaņot termina “sīkais komersants” lietojumu noteikumu projektā. Šobrīd noteikumu projektā tiek lietoti termini “sīkais komersants”, “sīkais (mikro) komersants” un “mikrouzņēmums”.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līdz 2024. gada 31. decembrim ar grantiem atbalstītie uzņēmumi – 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visu noteikumu projektu,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21.04.2023. 22.33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21.04.2023. 22.33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Atzinumi_22-TA-2394.docx</dc:title>
</cp:coreProperties>
</file>

<file path=docProps/custom.xml><?xml version="1.0" encoding="utf-8"?>
<Properties xmlns="http://schemas.openxmlformats.org/officeDocument/2006/custom-properties" xmlns:vt="http://schemas.openxmlformats.org/officeDocument/2006/docPropsVTypes"/>
</file>