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480 "Noteikumi par atbrīvojuma piemērošanu no dabas resursu nodokļa samaksas par iepakojumu un vienreiz lietojamiem galda traukiem un piederumiem"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Alus Darītāju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atkritumu apsaimniekotāju līgumpartneri (pārtikas produktu ražotāji) veic ievērojamus maksājumus par atkritumu apsaimniekotāju veiktajām atkritumu apsaimniekošanas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mēnešu laikā apsaimniekošanas tarifi ir pieauguši līdz pat četrām reizēm. Vienlaikus pārtikas ražotājiem nav iespējas pārliecināties par atkritumu apsaimniekotāju veiktajām apsaimniekošanas darbībām un to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pārējās Baltijas valstīs minētie atkritumu apsaimniekošanas tarifi ir ievērojami zemāki. Neskatoties uz vienādām Eiropas Savienības prasībām arī savākšanas mērķi kompozīta iepakojumam Lietuvā ir zemāki. Šāda situācija būtiski pasliktina Latvijas ražotāju konkurētspēju starp pārējām Baltijas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Noteikumu projekts neparedz kārtību, kas nodrošinātu caurspīdīgu un saprotamu atkritumu apsaimniekošanas uzņēmumu tarifu (ražotājiem noteikto maksājumu) veidošanas kārtību. Latvijā ir tikai daži uzņēmumi, kas ir tiesīgi sniegt Noteikumos regulētos atkritumu apsaimniekošanas pakalpojumus, kas rada nesamērīgu un nekontrolētu tarifu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iekļaut Noteikumos pienākumu atkritumu apsaimniekošanas uzņēmumiem pamatot atkritumu apsaimniekošanas tarifus, tarifu veidošanas metodiku, kā arī noteikt valsts pilnvarotu, neatkarīgu iestādi, kurai būs tiesības izvērtēt minēto tarifu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Liniņš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saskaņota Iepakojuma regula, kurai būs būtiska ietekme uz pārtikas un dzērienu iepakojumu. Nosakot prasības dzērienu iepakojumam, ir būtiski noteikt reālus savākšanas un pārstrādes mērķus pārstrādājamo iepakojumu grupām, t.i. dzērienu kompozīta iepakojumam.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arvien augošās prasības pēc iepakojuma pārstrādes, mērķu noteikšana padarīs vidējā termiņā biznesa vidi pārtikas nozarē prognozējamāku. Piedāvājam noteikt pārstrādes mērķi kompozīta iepakojumam 30% apmērā sākot ar 2025.g., paredzot ikgadēju palielinājumu par 5%: 2025.gadā 30%; 2026.gadā 35%; 2027.gadā 40%; 2028.gadā: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iepriekš sniegtā iebilduma pēdējais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Liniņš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saskaņota Iepakojuma regula, kurai būs būtiska ietekme uz pārtikas un dzērienu iepakojumu. Nosakot prasības dzērienu iepakojumam, ir būtiski noteikt reālus savākšanas un pārstrādes mērķus pārstrādājamo iepakojumu grupām, t.i. dzērienu kompozīta iepakojumam.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arvien augošās prasības pēc iepakojuma pārstrādes, mērķu noteikšana padarīs vidējā termiņā biznesa vidi pārtikas nozarē prognozējamāku. Piedāvājam noteikt savākšanas mērķi kompozīta iepakojumam 30% apmērā sākot ar 2025.g., paredzot ikgadēju palielinājumu par 5%: 2025.gadā 30%; 2026.gadā 35%; 2027.gadā 40%; 2028.gadā: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Liniņš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22.04.2024.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22.04.2024.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Atzinumi_24-TA-118.docx</dc:title>
</cp:coreProperties>
</file>

<file path=docProps/custom.xml><?xml version="1.0" encoding="utf-8"?>
<Properties xmlns="http://schemas.openxmlformats.org/officeDocument/2006/custom-properties" xmlns:vt="http://schemas.openxmlformats.org/officeDocument/2006/docPropsVTypes"/>
</file>