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pamatot, kādēļ izvēlēts tieši šāds papildinājums mērķa grupai (it īpaši nodarbinātības kritērija paredzēšana personām ar I vai II invaliditātes grupu un kustību traucējumiem, kuras ir sasniegušas likumā "Par valsts pensijām" noteikto vecuma pensijas piešķiršanai nepieciešamo vecumu) un kā, izvēloties tieši šādi paplašināt mērķa grupu, ievērots vienlīdzības princips un atbilstība pasākuma mērķim. Papildus aicinām projekta 1. punktā, kā arī noteikumu pielikumos vārda "kļūst" vietā izmantot vārdu "ir" vai citādi atbilstoši precizēt normu. Proti, vārda "kļūst" izmantošana normā ir mulsinoša, jo sākuma daļā ir norāde, ka attiecīgā statusā persona ir "noteikumu 16.6. apakšpunktā minētā </w:t>
            </w:r>
            <w:r w:rsidR="00000000" w:rsidRPr="00000000" w:rsidDel="00000000">
              <w:rPr>
                <w:u w:val="single"/>
                <w:rtl w:val="0"/>
              </w:rPr>
              <w:t xml:space="preserve">lēmuma pieņemšanas brīdī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ietverto regulējumu, tostarp pasākuma mērķa grupas paplašināšanu, aicinām aizpildīt anotācijas 2. sadaļu, skaidrojot projekta ietekmi uz sabiedrības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mērķa grupas personu skaits, kurām attiecīgajā pašvaldībā sniedzams atbalsts (pašvaldības kvota)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 pielikuma 1. zemsvītras piezīmi (norādi uz mērķa grupu) nepieciešams precizēt un salāgot ar noteikumu projekta 1. punktu (noteikumu 4. punktu). Attiecīgi aicinām precizēt. Nepieciešamības gadījumā lūdzam precizēt arī noteikumu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Atzinumi_23-TA-3215.docx</dc:title>
</cp:coreProperties>
</file>

<file path=docProps/custom.xml><?xml version="1.0" encoding="utf-8"?>
<Properties xmlns="http://schemas.openxmlformats.org/officeDocument/2006/custom-properties" xmlns:vt="http://schemas.openxmlformats.org/officeDocument/2006/docPropsVTypes"/>
</file>