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skaidrojumā ietvertā informācija liecina par to, ka tiesību akta projekts rada administratīvās izmaksas. Attiecīgi lūgums visos ierakstos precizēt ierakstu par radīto ietekmi, norādot, ka administratīvās izmaksas palielinās, kā arī ietvert skaidrojumā ietvertos rādītājus tabulā. Aprēķini par prognozēto administratīvo slogu var tikt balstīti uz rādītājiem, kas atspoguļo līdzšinējo praksi un datus par iepriekšējiem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skaidrojumā ietvertā informācija liecina par to, ka tiesību akta projekts rada administratīvās izmaksas. Attiecīgi lūgums visos ierakstos precizēt ierakstu par radīto ietekmi, norādot, ka administratīvās izmaksas palielinās, kā arī ietvert skaidrojumā ietvertos rādītājus tabulā. Aprēķini par prognozēto administratīvo slogu var tikt balstīti uz rādītājiem, kas atspoguļo līdzšinējo praksi un datus par iepriekšējiem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25.04.2024.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25.04.2024.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