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ierosināto grozījumu ietekmi uz uzsākto projektu iesniegumu atlases kārtu, projekta iesniedzējiem vai finansējuma saņēmējiem , kā arī nepieciešamības gadījumā noteikumu grozījumu projektā ietvert pārejas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lai būtu skaidri saprotams, vai ir plānota projektu iesniedzēju informēšana par grozījumiem, pēc to apstiprināšanas Ministru kabinetā, kā arī kāda varētu būt grozījumu ietekme uz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jau par kāda projekta īstenošanu noslēgts līgums, lūdzam anotācijā ietvert informāciju, vai būs nepieciešams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ierosinātajiem grozījumiem nav ietekmes uz atlases kārtu, lūdzam ar šādu informāciju papildināt anotāciju, lai būtu pārliecība, ka grozījumu ietekmes izvērtējums ir veikts, un ir nodrošinātas informācijas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1.3.sadaļā "Pašreizējā situācija, problēmas un risinājumi" nevis tikai uzskaitīt, kuros punktos, kādi grozījumi tiek veikti, bet papildināt konkrēto sadaļu ar skaidrojumu, kāpēc ir nepieciešami rosinātie grozījumi, t.sk., kāda ir esošā situācija un kāpēc ir nepieciešami grozījumi, kādā veidā rosinātie grozījumi sniegs ieguldījumu/atbalstu konkrētā pasākuma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ūdenssaimniecības sabiedrisko pakalpojumu sniedzējam piešķirtās ekskluzīvās vai īpašās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2024. gada 19. novembra noteikumu Nr. 726 "Eiropas Savienības kohēzijas politikas programmas 2021.–2027. gadam 2.3.1. specifiskā atbalsta mērķa "Veicināt ilgtspējīgu daudzveidu mobilitāti pilsētās" 2.3.1.2. pasākuma "Multimodāls sabiedriskā transporta tīkls" īstenošanas noteikumi" (turpmāk - MK noteikumi Nr.726) 23.6.apakš</w:t>
            </w:r>
            <w:r w:rsidR="00000000" w:rsidRPr="00000000" w:rsidDel="00000000">
              <w:rPr>
                <w:rtl w:val="0"/>
              </w:rPr>
              <w:t xml:space="preserve">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 Redakcijas piemērs: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ūdenssaimniecības sabiedrisko pakalpojumu sniedzējam piešķirto ekskluzīvo vai īpašo tiesību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Gadījumā, ja šo noteikumu </w:t>
            </w:r>
            <w:r w:rsidR="00000000" w:rsidRPr="00000000" w:rsidDel="00000000">
              <w:rPr>
                <w:rtl w:val="0"/>
              </w:rPr>
              <w:t xml:space="preserve">27.15.</w:t>
            </w:r>
            <w:r w:rsidR="00000000" w:rsidRPr="00000000" w:rsidDel="00000000">
              <w:rPr>
                <w:rtl w:val="0"/>
              </w:rPr>
              <w:t xml:space="preserve"> apakšpunktā minētās darbības veic pašvaldības kapitālsabiedrība vai pašvaldības iestāde, noslēdz pakalpojumu līgumu (ja attiecināms) ar pašvaldību par ūdenssaimniecības sabiedrisko pakalpojumu sniegšanu, norādot pakalpojumu līgumā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viennozīmīgas un korektas atsauces, lūdzam svītrot no punktiem 23.¹ un 23.³ “</w:t>
            </w:r>
            <w:r w:rsidR="00000000" w:rsidRPr="00000000" w:rsidDel="00000000">
              <w:rPr>
                <w:i w:val="1"/>
                <w:rtl w:val="0"/>
              </w:rPr>
              <w:t xml:space="preserve">pašvaldības iestāde</w:t>
            </w:r>
            <w:r w:rsidR="00000000" w:rsidRPr="00000000" w:rsidDel="00000000">
              <w:rPr>
                <w:rtl w:val="0"/>
              </w:rPr>
              <w:t xml:space="preserve">”, jo pašvaldības iestādei noteiktie nosacījumi norādīti 23.² punktā (pašvaldības saistošie noteikumi), savukārt 23.¹ punkts attiecas uz pašvaldību kapitālsabiedrībām (pakalpojumu līgums), un 23.³ punkts attiecas uz pašvaldībām (pašvaldības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aizpildītu sadarbības iestādes tīmekļvietnē pieejamo publisko iepirkumu dokumentācijas atbilstības pārbaudes lapu un iepirkuma norises atbilstības pārbaudes lapu (attiecināms uz  pirmās kārtas projektiem un otrās un trešās kārtas projektiem,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projektu iesniedzējiem mazināšanas nolūkos lūdzam izvērtēt iespēju svītrot MK noteikumu Nr. 726 24.1. apakšpunktu, nenosakot publisko iepirkumu dokumentācijas atbilstības pārbaudes lapu un iepirkuma norises atbilstības pārbaudes lapu iesniegšanu kā obligātu ar projekta iesniegumu iesniedzamu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ka projekta ietvaros izbūvētā infrastruktūra ir finansējuma saņēmēja īpašumā vai valdījumā vismaz piecus gadus pēc noslēguma maksājuma dalībvalstij vai komercdarbības atbalsta gadījumā – atbilstoši nosacījumiem, iesniedzot par to apliecinājumu saskaņā ar šo noteikumu </w:t>
            </w:r>
            <w:r w:rsidR="00000000" w:rsidRPr="00000000" w:rsidDel="00000000">
              <w:rPr>
                <w:rtl w:val="0"/>
              </w:rPr>
              <w:t xml:space="preserve">24.8.</w:t>
            </w:r>
            <w:r w:rsidR="00000000" w:rsidRPr="00000000" w:rsidDel="00000000">
              <w:rPr>
                <w:rtl w:val="0"/>
              </w:rPr>
              <w:t xml:space="preserve"> apakšpunktu. Projekta ietvaros izbūvētās publiskās infrastruktūras uzraudzība tiek veikta visā projekta amortizācijas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MK noteikumu Nr.726 37. punktā noteikto termiņu  projekta ietvaros izbūvētās infrastruktūras īpašuma vai valdījuma tiesībām piecus gadus pēc noslēguma maksājuma veikšanas dalībvalstij atbilstoši Eiropas Parlamenta un Padomes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65.panta nosacījumiem, kas nosaka ilgtspējas nosacījuma termiņu piecus gadus pēc galīgā maksājuma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nodrošina, ka projekta dokumentācija par darbībām, uz kurām nav attiecināmi komercdarbības atbalsta nosacījumi, ir pieejama piecus gadus pēc noslēguma maksājuma veikšanas dalībvalstij;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MK noteikumu Nr.726 42.8. apakšpunktā noteikto projekta dokumentācijas pieejamības nodrošināšanas termiņu piecus gadus pēc noslēguma maksājuma veikšanas dalībvalstij atbilstoši regulas 2021/1060 82.panta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nodrošina, ka projekta dokumentācija par darbībām, uz kurām nav attiecināmi komercdarbības atbalsta nosacījumi, ir pieejama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finansējuma saņēmējam pieprasīt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svītros "parastos papildpakalpjumus", jo to uzraudzībai nav noteikts ierobežojums un jo Finansējuma saņēmējs, saskaņā ar 53.punktu, sagatavo pārskatus tikai par papildinošās saimnieciskās darbības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27.11.</w:t>
            </w:r>
            <w:r w:rsidR="00000000" w:rsidRPr="00000000" w:rsidDel="00000000">
              <w:rPr>
                <w:rtl w:val="0"/>
              </w:rPr>
              <w:t xml:space="preserve"> apakšpunktā minētās izmaksas ir attiecināmas, piemērojot </w:t>
            </w:r>
            <w:r w:rsidR="00000000" w:rsidRPr="00000000" w:rsidDel="00000000">
              <w:rPr>
                <w:i w:val="1"/>
                <w:rtl w:val="0"/>
              </w:rPr>
              <w:t xml:space="preserve">de minimis</w:t>
            </w:r>
            <w:r w:rsidR="00000000" w:rsidRPr="00000000" w:rsidDel="00000000">
              <w:rPr>
                <w:rtl w:val="0"/>
              </w:rPr>
              <w:t xml:space="preserve"> atbalsta nosacījumus, ja tās radušās pirms projekta iesnieguma iesniegšanas vadības informācijas sistēmā šo noteikumu </w:t>
            </w:r>
            <w:r w:rsidR="00000000" w:rsidRPr="00000000" w:rsidDel="00000000">
              <w:rPr>
                <w:rtl w:val="0"/>
              </w:rPr>
              <w:t xml:space="preserve">27.13.</w:t>
            </w:r>
            <w:r w:rsidR="00000000" w:rsidRPr="00000000" w:rsidDel="00000000">
              <w:rPr>
                <w:rtl w:val="0"/>
              </w:rPr>
              <w:t xml:space="preserve"> un </w:t>
            </w:r>
            <w:r w:rsidR="00000000" w:rsidRPr="00000000" w:rsidDel="00000000">
              <w:rPr>
                <w:rtl w:val="0"/>
              </w:rPr>
              <w:t xml:space="preserve">27.15.</w:t>
            </w:r>
            <w:r w:rsidR="00000000" w:rsidRPr="00000000" w:rsidDel="00000000">
              <w:rPr>
                <w:rtl w:val="0"/>
              </w:rPr>
              <w:t xml:space="preserve"> apakšpunktā minēto darbību īstenošanas nodrošināšanai un ir uzsāktas ne agrāk par šo noteikumu </w:t>
            </w:r>
            <w:r w:rsidR="00000000" w:rsidRPr="00000000" w:rsidDel="00000000">
              <w:rPr>
                <w:rtl w:val="0"/>
              </w:rPr>
              <w:t xml:space="preserve">30.</w:t>
            </w:r>
            <w:r w:rsidR="00000000" w:rsidRPr="00000000" w:rsidDel="00000000">
              <w:rPr>
                <w:rtl w:val="0"/>
              </w:rPr>
              <w:t xml:space="preserve"> punktā noteikto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atsauci no 27.15.apakšpunkta uz 27.9.apakšpunktu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27.1.1., 27.1.2., 27.1.3., 27.1.4. un 27.11. apakšpunktā minētās izmaksas ir attiecināmas, piemērojot de minimis atbalsta nosacījumus, ja tās radušās pirms projekta iesnieguma iesniegšanas vadības informācijas sistēmā šo noteikumu 27.13. un 27.9. apakšpunktā minēto darbību īstenošanas nodrošināšanai un ir uzsāktas ne agrāk par šo noteikumu 30. punktā noteikto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1. ja atbalsts attiecas arī uz tām pašām attiecināmajām izmaksām, kas daļēji vai pilnībā pārklājas, – tikai tādā gadījumā, ja šīs kumulācijas rezultātā netiek pārsniegts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normu piemērošanu, lūdzam 65.</w:t>
            </w:r>
            <w:r w:rsidR="00000000" w:rsidRPr="00000000" w:rsidDel="00000000">
              <w:rPr>
                <w:vertAlign w:val="superscript"/>
                <w:rtl w:val="0"/>
              </w:rPr>
              <w:t xml:space="preserve">1</w:t>
            </w:r>
            <w:r w:rsidR="00000000" w:rsidRPr="00000000" w:rsidDel="00000000">
              <w:rPr>
                <w:rtl w:val="0"/>
              </w:rPr>
              <w:t xml:space="preserve">1.apakšpunktu izteikt šādā redakcijā, piemēru skatīt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attiecas arī uz tām pašām attiecināmajām izmaksām, kas daļēji vai pilnībā pārklājas, citas atbalsta programmas vai individuālā atbalsta projekta ietvaros, ja pēc atbalstu apvienošanas atbalsta vienībai vai izmaksu pozīcijai attiecīgā maksimālā atbalsta intensitāte nepārsniedz 100%, kā arī tiek ievērots maksimālais iespējamais de minimis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Finansējuma saņēmējs, kas ir pašvaldības iestāde vai pašvaldības kapitālsabiedrība, šo noteikumu </w:t>
            </w:r>
            <w:r w:rsidR="00000000" w:rsidRPr="00000000" w:rsidDel="00000000">
              <w:rPr>
                <w:rtl w:val="0"/>
              </w:rPr>
              <w:t xml:space="preserve">27.15.</w:t>
            </w:r>
            <w:r w:rsidR="00000000" w:rsidRPr="00000000" w:rsidDel="00000000">
              <w:rPr>
                <w:rtl w:val="0"/>
              </w:rPr>
              <w:t xml:space="preserve"> apakšpunktā minēto darbību gadījumā nodrošina, ka projekta ietvaros radītās infrastruktūras īpašumtiesības tiek nodotas pašvaldībai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punktu, ka Finansējuma saņēmējs, kas ir pašvaldība, šo noteikumu 27.15. apakšpunktā minēto darbību gadījumā nodrošina, ka projekta ietvaros radītās infrastruktūras īpašumtiesības tiek nodotas VTNP 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69.¹ punkta "</w:t>
            </w:r>
            <w:r w:rsidR="00000000" w:rsidRPr="00000000" w:rsidDel="00000000">
              <w:rPr>
                <w:i w:val="1"/>
                <w:rtl w:val="0"/>
              </w:rPr>
              <w:t xml:space="preserve">pašvaldības iestāde</w:t>
            </w:r>
            <w:r w:rsidR="00000000" w:rsidRPr="00000000" w:rsidDel="00000000">
              <w:rPr>
                <w:rtl w:val="0"/>
              </w:rPr>
              <w:t xml:space="preserve">", jo saskaņā ar 69.¹1. un 69.¹2. apakšpunktiem, minētais punkts attiecas uz pašvaldības kapitālsabiedrībām, kurām ir noslēgts pakalpojumu līgums atbilstoši 23.¹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28.03.2025.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28.03.2025.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