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likumā "Par bīstamo iekārtu tehnisko uzraudzību""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mehānismu, kā atbilstoši 16.</w:t>
            </w:r>
            <w:r w:rsidR="00000000" w:rsidRPr="00000000" w:rsidDel="00000000">
              <w:rPr>
                <w:vertAlign w:val="superscript"/>
                <w:rtl w:val="0"/>
              </w:rPr>
              <w:t xml:space="preserve">1</w:t>
            </w:r>
            <w:r w:rsidR="00000000" w:rsidRPr="00000000" w:rsidDel="00000000">
              <w:rPr>
                <w:rtl w:val="0"/>
              </w:rPr>
              <w:t xml:space="preserve"> pantā paredzētajam bīstamās iekārtas valdītājs nodrošinās ar ekspertīzi saistīto izdevumu atlīdzināšanu, ja tiks konstatēts, ka bīstamā iekārta neatbilst normatīvo aktu prasībām, un kur attiecīgie līdzekļi tiks ieskaitīti. Vienlaikus minētajā sadaļā lūdzam arī skaidrot, kur tiks ieskaitīt likumprojekta 19.pantā paredzētie naudas sodi par konkrētajiem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likumprojekta izpilde tiks nodrošināta Ekonomikas ministrijas budžeta apakšprogrammā 26.01.00 “Iekšējais tirgus un patērētāju tiesību aizsardzība”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w:t>
    </w:r>
    <w:r>
      <w:br/>
    </w:r>
    <w:r w:rsidR="00000000" w:rsidRPr="00000000" w:rsidDel="00000000">
      <w:rPr>
        <w:rtl w:val="0"/>
      </w:rPr>
      <w:t xml:space="preserve">Izdrukāts 17.04.2024.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w:t>
    </w:r>
    <w:r>
      <w:br/>
    </w:r>
    <w:r w:rsidR="00000000" w:rsidRPr="00000000" w:rsidDel="00000000">
      <w:rPr>
        <w:rtl w:val="0"/>
      </w:rPr>
      <w:t xml:space="preserve">Izdrukāts 17.04.2024.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Atzinumi_24-TA-154.docx</dc:title>
</cp:coreProperties>
</file>

<file path=docProps/custom.xml><?xml version="1.0" encoding="utf-8"?>
<Properties xmlns="http://schemas.openxmlformats.org/officeDocument/2006/custom-properties" xmlns:vt="http://schemas.openxmlformats.org/officeDocument/2006/docPropsVTypes"/>
</file>