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Labklājības ministrijas tīmekļvietnes https://cilveksnevisdiagnoze.lv/ pilnas kodu bāzes (avota koda) kopijas nodošanu bezatlīdzības lietošanā sociālajam uzņēmumam – sabiedrībai ar ierobežotu atbildību "Ligero"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Labklājības ministrijas tīmekļvietnes https://cilveksnevisdiagnoze.lv/ pilnas kodu bāzes (avota koda) kopijas nodošanu bezatlīdzības lietošanā sociālajam uzņēmumam – sabiedrībai ar ierobežotu atbildību "Ligero"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ja autors noslēdz licences līgumu ar citu personu, tad minētā persona iegūst darba izmantošanas tiesības līgumā noteiktajā termiņā un apjomā, bet autors saglabā savas mantiskās tiesības un ir tiesīgs gan pats izmantot savu darbu, gan arī slēgt licences līgumus ar citiem izmantotājiem.</w:t>
            </w:r>
            <w:r w:rsidR="00000000" w:rsidRPr="00000000" w:rsidDel="00000000">
              <w:rPr>
                <w:rtl w:val="0"/>
              </w:rPr>
              <w:t xml:space="preserve">"  Ievērojot minēto, būtu secināms, ka licences līgums pēc savas būtības un rakstura ļauj citai personai iegūt tiesības un lietot noteiktā termiņā un apjomā šo Labklājības ministrijas īpašumā kā mantisko tiesību autora esošo tīmekļvietnes koda bāzi, kas līdzinātos lietošanai bez atlīdzības.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izziņā Labklājības ministrijas sniegto skaidrojumu par to, ka tās ieskatā būtu piemērojams kopsakarā  gan Autortiesību likums, gan Publiskas personas finanšu līdzekļu un mantas izšķērdēšanas novēršanas likums, lūdzam ar attiecīgu informāciju papildināt arī anotāciju, t.i., ka šajā nestandarta situācijā Labklājības ministrijas piemēros divus normatīvo aktu regulējumus kopsakarā, t.i., gan tiks noslēgts licences līgums atbilstoši Autortiesību likumam, gan tiks slēgts līgums par nodošanu bezatlīdzības lietošanā, jo šobrīd no anotācijas minētais tieši neizriet.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Labklājības ministrija kā attiecīgā tiesību projekta virzītājs ir atbildīga par tā atbilstību normatīvajiem tiesību aktiem.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Labklājības ministrijas tīmekļvietnes https://cilveksnevisdiagnoze.lv/ pilnas kodu bāzes (avota koda) kopijas nodošanu bezatlīdzības lietošanā sociālajam uzņēmumam – sabiedrībai ar ierobežotu atbildību "Ligero"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uz Finanšu ministrijas izteikto iebildumu Labklājības ministrijas skaidro, ka </w:t>
            </w:r>
            <w:r w:rsidR="00000000" w:rsidRPr="00000000" w:rsidDel="00000000">
              <w:rPr>
                <w:i w:val="1"/>
                <w:rtl w:val="0"/>
              </w:rPr>
              <w:t xml:space="preserve">nepieciešamības gadījumā Labklājības ministrijai būs iespēja pārliecināties par minēto nosacījumu ievērošanu, salīdzinot tās rīcībā esošo pirmkodu ar sociālā uzņēmuma izmantoto risinājumu. </w:t>
            </w:r>
            <w:r w:rsidR="00000000" w:rsidRPr="00000000" w:rsidDel="00000000">
              <w:rPr>
                <w:i w:val="1"/>
                <w:u w:val="single"/>
                <w:rtl w:val="0"/>
              </w:rPr>
              <w:t xml:space="preserve">Attiecīgi līgumā var tikt paredzēts sociālā uzņēmuma pienākums pēc Labklājības ministrijas pieprasījuma sniegt nepieciešamo informāciju un nodrošināt piekļuvi, lai pārbaudītu līguma nosacījumu izpildi. Tādējādi Labklājības ministrijai saglabājas iespēja kontrolēt, vai pēc bezatlīdzības lietošanas termiņa beigām netiek turpināta tieši ministrijas nodoto pirmkoda kopijas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Labklājības ministrijas sniegto skaidrojumu un, lai Labklājības ministrija kā attiecīgā tiesību akta virzītāja varētu nodrošināt tiesisku un atbilstošu rīcību ar tās mantu atbilstoši normatīvajam regulējumam, aicinām ietvert līgumā šādus nosacījums, t.sk. aicinām izvērtēt šādu nosacījumu ietveršanu sagatavotā rīkojuma projekta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25-TA-1925</w:t>
    </w:r>
    <w:r>
      <w:br/>
    </w:r>
    <w:r w:rsidR="00000000" w:rsidRPr="00000000" w:rsidDel="00000000">
      <w:rPr>
        <w:rtl w:val="0"/>
      </w:rPr>
      <w:t xml:space="preserve">Izdrukāts 24.07.2026. 14.09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25-TA-1925</w:t>
    </w:r>
    <w:r>
      <w:br/>
    </w:r>
    <w:r w:rsidR="00000000" w:rsidRPr="00000000" w:rsidDel="00000000">
      <w:rPr>
        <w:rtl w:val="0"/>
      </w:rPr>
      <w:t xml:space="preserve">Izdrukāts 24.07.2026. 14.09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Atzinumi_25-TA-1925.docx</dc:title>
</cp:coreProperties>
</file>

<file path=docProps/custom.xml><?xml version="1.0" encoding="utf-8"?>
<Properties xmlns="http://schemas.openxmlformats.org/officeDocument/2006/custom-properties" xmlns:vt="http://schemas.openxmlformats.org/officeDocument/2006/docPropsVTypes"/>
</file>