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valsts nozīmes meliorācijas sistēmu būvniecība, atjaunošana un pārbūve;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mežu zemju ES atbalsta projektos netiek atļauta valsts nozīmes ūdensnoteku atjaunošana vai pārbūve apdzīvotās vietās. Ja valsts nozīmes meliorācijas sistēmas netiek ietvertas - atbalstītas pašvaldību projektos, tad apdzīvotajās vietās paliek spēkā plūdu draudi no uzplūstošajām lauksaimniecības un meža zemēm.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Krasovskis (ZMNĪ)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finansējuma saņēmēja vai sadarbības partnera īpašumā, valdījumā vai bezatlīdzības turējumā esošā nekustamajā īpašumā, uz kuru finansējuma saņēmējam ir apbūves tiesība;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infrastruktūras būvniecība kā obligātu nosacījumu, nosakot apbūves tiesību.  Ar apbūves tiesību Civillikumā ieviests  tiesību institūts, uz kura pamata persona var celt un lietot uz sveša zemesgabala nedzīvojamu ēku vai inženierbūvi kā īpašnieks apbūves tiesības spēkā esamības laikā. Meliorācijas vai ūdenssaimniecības infrastruktūras būve nav īslaicīga būve vai būve, kas terminēta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atbalstāma apbūves tiesību reģistrācija Zemesgrāmatā, kas rada finansiālu un administratīvu šķērsli infrastruktūras būves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7.1.</w:t>
            </w:r>
            <w:r w:rsidR="00000000" w:rsidRPr="00000000" w:rsidDel="00000000">
              <w:rPr>
                <w:rtl w:val="0"/>
              </w:rPr>
              <w:t xml:space="preserve"> apakšpunktā minētajai jomai ir līdz 1 000 000 </w:t>
            </w:r>
            <w:r w:rsidR="00000000" w:rsidRPr="00000000" w:rsidDel="00000000">
              <w:rPr>
                <w:i w:val="1"/>
                <w:rtl w:val="0"/>
              </w:rPr>
              <w:t xml:space="preserve">euro</w:t>
            </w:r>
            <w:r w:rsidR="00000000" w:rsidRPr="00000000" w:rsidDel="00000000">
              <w:rPr>
                <w:rtl w:val="0"/>
              </w:rPr>
              <w:t xml:space="preserve">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finansējumu vienam infrastruktūras objektam līdz 5 miljoni eiro, ņemot vērā infrastruktūras objektu būvniecības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7.1. apakšpunktā minētajai jomai ir līdz 5 000 000 euro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attiecībā uz meliorācijas un lietusūdens kanalizācijas sistēmu būvniecību, pārbūvi un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ka meliorācijas un lietusūdens kanalizācijas sistēmu būvniecība veicama atbilstoši būvniecībā spēkā esošajiem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attiecībā uz meliorācijas un lietusūdens kanalizācijas sistēmu būvniecību, pārbūvi un atjaunošanu, atbilstoši būvniecībā noteiktajiem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