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mācību materiālu publicēšanai un turpmākai pielietošanai mācību procesā, ja mācību materiāli tiek izstrādāti valsts finansējuma vai ES struktūrfondu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valstī sekmēt procesu, kurā katra pašvaldība  uzturētu savu mācību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Valsts izglītības satura centram sadarbībā ar Latvijas Pašvaldību savienību izvērtēt mācību platformas skolo.lv funkcionalitāti, platformas attīstības iespējas, paplašinot tās funkcionalitāti un pieņemt lēmumu par valstī vienotas mācību platformas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LLPA priekšlikumu par nepieciešamību arī sadarbības partneriem PVN izmaksas segt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ka pašvaldības, pašvaldību kapitālsabiedrības, finansējumu projektu ieviešanai, arī PVN izmaksu segšanai, var aizņemties Valsts kasē ir nožēlojams. Sanāk, lai varētu apmaksāt valsts noteikto nodokli, ir jāaizņemās no valsts un jāiemaksā atpakaļ valsts budžetā, tas vairāk izsktās pēc legāla PVN karuseļa izkrāpšanas shēmas, nekā pēc projekta īstošanas nosacījuma.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Sagatvojiet grozījumus Ministru kabineta 2022. gada 22. marta sēdes protokollēmumā (prot. Nr. 17 34.§), lai attiecinātu PVN izmaksas arī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21.06.2023.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21.06.2023.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