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esošā ciršanas apjoma valsts mežos ietekmi uz 2030. gada zemes izmantošanas, zemes izmantošanas maiņas un mežsaimniecības sektora klimata mērķiem, kā arī iespējām palielināt šo ieguldījumu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Kokmateriālu ražotāju un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esošā ciršanas apjoma valsts mežos ietekmi uz 2030. gada zemes izmantošanas, zemes izmantošanas maiņas un mežsaimniecības sektora klimata mērķiem, kā arī iespējām palielināt šo ieguldījumu"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neizmanotais potenciāls oglekļa noglabāšanā koksnes produktos ir vismaz ~4 000 000 tonnu CO2 ekvivalenta, no kā daļu var attiecināt arī uz LVM izcelsmes apaļo kokmateriālu, nepieciešams dot uzdevumu LVM pilnveidot pārdošanas procedūras tā, lai tās veicinātu ilglietojamu koksnes produktu ražošanu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ZIZIMM mērķu sasniegšanu, Zemkopības ministrijai kā valsts akciju sabiedrības "Latvijas valsts meži" akciju turētājai uzdot akciju sabiedrībai "Latvijas valsts meži" pilnvedot apaļo kokmateriālu ražošanu un pārdošanu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prioritāri tiktu ražoti un pārdošanas programmās piedāvāti tādi sortimenti, ko var pārstrādāt ilglietojamos koksnes produktos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prioritāte iegādāties šos apaļos kokmateriālus būtu ražotājiem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02.06.2025.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02.06.2025.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Atzinumi_25-TA-1240.docx</dc:title>
</cp:coreProperties>
</file>

<file path=docProps/custom.xml><?xml version="1.0" encoding="utf-8"?>
<Properties xmlns="http://schemas.openxmlformats.org/officeDocument/2006/custom-properties" xmlns:vt="http://schemas.openxmlformats.org/officeDocument/2006/docPropsVTypes"/>
</file>