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“74.Gadskārtējā valsts budžeta izpildes procesā pārdalāmais finansējums” programmas 18.00.00 “Finansējums valsts drošības stiprināšanas pasākumiem” uz Ārlietu ministrijas, Centrālās finanšu līgumu aģentūras un Satiksmes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09.02.2024.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09.02.2024.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Atzinumi_24-TA-166.docx</dc:title>
</cp:coreProperties>
</file>

<file path=docProps/custom.xml><?xml version="1.0" encoding="utf-8"?>
<Properties xmlns="http://schemas.openxmlformats.org/officeDocument/2006/custom-properties" xmlns:vt="http://schemas.openxmlformats.org/officeDocument/2006/docPropsVTypes"/>
</file>