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Sociālās ekonomikas plāns 2026.–2029.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nodaļā lūdzam rūpīgāk izvērtēt atbildīgās un līdzatbildīgās institūcijas, jo īpaši IZM iesaisti šādos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institucionālais rīcības virziena: "Sociālās ekonomikas tiesiskais ietvars, atbildības sadalījums, uzraudzība" pasākumos 1.2. un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mērķa grupas rīcības virziens: "Piekļuve darba tirgum un sociālā iekļaušana":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2.6. pasākumu “Zināšanu attīstība un pārnese sociālās ekonomikas vajadzībām”, kā tas varētu tikt ieviests, kāds finansējums šī pasākuma īstenošanā būs pieejams un kā tiks uzskaitīts rezultāts “Potenciālo un esošo sociālās ekonomikas dalībnieku skaits, kas pilnveidojuši zināšanas un kompetences”, iesaistot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augstskolas savā darbībā ir autonomas dažādu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rīcības virziens: "Sociālo ekonomiku veicinošo sistēmu attīstība", pasākums 3.4. – lūdzam izvērtēt, vai visu ministriju loma šī pasākuma īstenošanā ir nepieciešama, lai neradītu administratīvo slogu ministrijām un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augstāk minētajos pasākumos iekļaut visas ministrijas kā līdzatbildīgās institūcijas. Aicinām izvērtēt, vai to loma šo pasākumu īstenošanā ir būtiska un vai citām ministrijām netiek radīts papildus administratīvais slogs.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13 lpp. ir minēts: “Tāpat Latvijā ir pieejami sociālās uzņēmējdarbības profesionālās pilnveides kursi, kā arī izglītības standartā “SKOLA 2030” sociālā uzņēmējdarbība ir iekļauta Latvijas skolu mācību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šo teikumu vai minēt konkrētu informāciju, kas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13 lpp.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Kristīgā akadēmija (programma “Sociālās uzņēmējdarbības vadība”).” Vēršam uzmanību, ka šī programma ir slēgta un tagad ir Eiropas Kristīgā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Universitātes bakalaura studiju programmā “Sociālais darbs”” – vēršam uzmanību, ka šī universitāte ir iekļauta Rīgas Tehniskajā universitātē un studiju programma ar šādu nosaukumu nav minēta, turklāt pašlaik ir informācija, ka sociālā darba programmas šajā universitātē ir akreditētas līdz 2026. gada 31. martam.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papildus informāciju par augstākās izglītības programmām, ja nepieciešams,  Augstākās izglītības kvalitātes aģentūras e-platformā:  https://eplatforma.aika.lv/ un ttps://eplatforma.aika.lv/index.php?r=site%2Fhei%2Fprograms&amp;id=30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10.12.2025.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10.12.2025.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Atzinumi_25-TA-2099.docx</dc:title>
</cp:coreProperties>
</file>

<file path=docProps/custom.xml><?xml version="1.0" encoding="utf-8"?>
<Properties xmlns="http://schemas.openxmlformats.org/officeDocument/2006/custom-properties" xmlns:vt="http://schemas.openxmlformats.org/officeDocument/2006/docPropsVTypes"/>
</file>