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pasākuma ietekmes uz horizontālo principu "Vienlīdzība, iekļaušana, nediskriminācija un pamattiesību ievērošana" (turpmāk - HP  VINPI) aprakstu ar informāciju, ka, atbilstoši HP VINPI vadlīnijās [1] noteiktajam, pasākuma projekta iesnieguma vērtēšanā tiks piemērots vienotais izvēles kritērijs attiecībā uz atbilstību HP VINPI. Lai izpildītu minimālās prasības minētajā kritērijā, projektā būs jāparedz  vismaz viena vispārīgā HP VINPI darbība, kas attiecas uz projekta vadības un īstenošanas personālu, projekta komunikācijas aktivitātēm vai sociāli atbildīgu iepirkumu. Piemēram,  projektu vadībā un īstenošanā tiks virzīti pasākumi, kas sekmē darba un ģimenes dzīves līdzsvaru, paredzot elastīga un nepilna laika darba iespēju nodrošināšanu vecākiem ar bērniem un personām, kuras aprūpē tuviniekus vai tiks nodrošināts, ka informācija finansējuma saņēmēja tīmekļa vietnē ir piekļūstama cilvēkiem ar funkcionēšanas ierobežojumiem,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skatīt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15.10.2025. 19.23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15.10.2025. 19.23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