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 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1.3.apakšpunkta  6.sadaļā ietverto skaidrojumu par problēmas risinājumu attiecībā uz personas datu apstrādes jomas normatīvo aktu ievērošanu, jo likumprojekts paredz iestādes pienākumu pārbaudīt personu identitāti, bet neparedz kārtību, kādā veicama minētā identitātes pārbaude. Vienlaikus aicinām izvērtēt nepieciešamību ietvert likumprojektā normas, kas detalizēti reglamentē identitātes pārbaudes norisi attālinātā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15.04.2026. 18.41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15.04.2026. 18.41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Atzinumi_25-TA-2124.docx</dc:title>
</cp:coreProperties>
</file>

<file path=docProps/custom.xml><?xml version="1.0" encoding="utf-8"?>
<Properties xmlns="http://schemas.openxmlformats.org/officeDocument/2006/custom-properties" xmlns:vt="http://schemas.openxmlformats.org/officeDocument/2006/docPropsVTypes"/>
</file>