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apakšpunktu, identificējot visas sabiedrības grupas, kuras projekts ietekmē, kā arī sniedzot attiecīgu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apakšpunktā kā ietekmējamā sabiedrības grupa ir norādīti tikai Ukrainas civiliedzīvotāji, kuri uzturējušies Latvijas Republikā uz Ukrainas civiliedzīvotāju atbalsta likumā noteiktās ilgtermiņa vīzas vai uzturēšanās atļaujas pamata un kuri atbilst nacionālās pastāvīgās uzturēšanās atļaujas pieprasīšanas nosacījumiem, savukārt ietekmes apraksts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arī izmaiņas Ukrainas civiliedzīvotāju tiesībās uz nodarbinātību, atsakoties no pašlaik noteiktā ierobežojuma slēgt darba līgumu uz laiku, kas nepārsniedz 30 dienas, ja darba tiesiskās attiecības tiek uzsāktas pirms termiņuzturēšanās atļaujas saņemšanas. Tādējādi projekts ietekmē gan attiecīgos Ukrainas civiliedzīvotājus, gan darba devējus, kuri ar tiem nodibina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apakšpunktā identificēt visas projekta ietekmētās sabiedrības grupas un katrai no tām raksturot projekta radīto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2.4. apakšpunktā veikt projekta radītā administratīvā sloga fiziskām personām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2.4. apakšpunktā norādīts, ka projekts šo jomu neskar. Vienlaikus projekts paredz papildināt Ukrainas civiliedzīvotāju atbalsta likuma 3. pantu ar sesto daļu, paredzot noteiktai Ukrainas civiliedzīvotāju grupai iespēju pieprasīt pastāvīgās uzturēšanās atļauju. Lai izmantotu projektā paredzēto iespēju, personai būs jāveic ar pastāvīgās uzturēšanās atļaujas pieprasīšanu saistītās administratīvās darbības. Papildus projekts tieši nosaka pienākumu, pieprasot minēto uzturēšanās atļauju, iesniegt Ukrainas kompetentās institūcijas izsniegtu apliecinājumu par atbrīvojumu no iesaukšanas Ukrainas aktīvajā dienestā mobilizācijas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2.4. apakšpunktā identificēt un izvērtēt ar pastāvīgās uzturēšanās atļaujas pieprasīšanu saistītās informācijas sniegšanas prasības un to izpildei nepieciešamās administratīvās darbības, tostarp minētā apliecinājuma iegūšanu un iesniegšanu, un veikt attiecīgu administratīvā sloga monetāro novērtējumu, norādot aprēķinā izmantoto vērtību avotus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vispirms ir nepieciešams identificēt informācijas sniegšanas pienākumu un ar tā izpildi saistītās administratīvās aktivitātes. Pēc tam ir jānosaka katras administratīvās aktivitātes izpildei nepieciešamās darbības un to veikšanai patērētais laiks (piemēram, informācijas iegūšana, iesnieguma vai cita dokumenta sagatavošana, informācijas apkopošana, dokumentu pievienošana, informācijas iesniegšana elektroniski vai pa pastu u.c.). Pēc administratīvo aktivitāšu identificēšanas un laika patēriņa noteikšanas ir nosakāmas Ministru kabineta noteikumos Nr. 617 paredzētās aprēķina formulas parametru vērtības un veicams administratīvo izmaksu monetārais novērtējums. Aprēķina skaidrojuma sadaļā lūdzam norādīt projekta pantus/punktus, par kuriem tiek veikts aprēķins un pamatot katru izmantoto formulas parametra vērtību, norādot tās noteikšanas metodi un izmantotos pieņēmumus.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 izvērtējot, vai anotācijas 7.1. apakšpunktā ir identificētas visas projekta izpildē iesaistītās institūcijas, kā arī pilnībā atspoguļojot projekta ietekmi uz institūciju funkcijām, uzdevumiem un iekšējiem procesiem anotācijas 7.4.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apakšpunktā kā projekta izpildē iesaistītās institūcijas norādītas Finanšu ministrija, Iekšlietu ministrija, Nodrošinājuma valsts aģentūra, Pilsonības un migrācijas lietu pārvalde un VAS "Valsts nekustamie īpašumi". Savukārt 7.4. apakšpunktā projekta ietekme raksturota tikai attiecībā uz valstij piekritīgo transportlīdzekļu nodošanu, norādot, ka lēmuma pieņemšana tiek deleģēta iekšlietu ministram vai finanšu ministram. Vienlaikus norādīts, ka iekšējo institūcijas procesu efektivizācija, digitalizācija vai optimizācija netiks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projekts paredz izmaiņas ne tikai valstij piekritīgo transportlīdzekļu nodošanas procesā, bet arī ievieš jaunu tiesisko regulējumu attiecībā uz Ukrainas civiliedzīvotāju tiesībām pieprasīt pastāvīgās uzturēšanās atļauju, kā arī maina regulējumu par termiņuzturēšanās atļaujas pieprasīšanu un Ukrainas civiliedzīvotāju nodarbinātību. Minēto regulējumu īsteno Pilsonības un migrācijas lietu pārvalde, taču projekta ietekme uz tās funkcijām, uzdevumiem un procesiem anotācijas 7.4. apakšpunktā nav raksturota.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mērķis attiecībā uz valstij piekritīgo transportlīdzekļu nodošanu ir vienkāršot lēmumu pieņemšanas procesu, atsakoties no nepieciešamības katrā gadījumā pieņemt atsevišķu Ministru kabineta lēmumu un deleģējot lēmuma pieņemšanu attiecīgajam ministram.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atkārtoti izvērtēt arī anotācijas 7.4. apakšpunktā norādīto, ka projekts neparedz institūciju iekšējo procesu efektivizāciju vai optimizāciju, un nepieciešamības gadījumā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14.08.2026.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14.08.2026.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