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Integrētās riska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Sistēma saņem informāciju no šādām valsts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un likuma “Par fizisko personu datu apstrādi kriminālprocesā un administratīvā pārkāpuma procesā” (turpmāk – Likums) 4.panta pirmās daļas 1. un 2.punktā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un Likuma 4.panta pirmās daļas 3.punktā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Iekšlietu ministrijas Informācijas centrs kā valsts informācijas sistēmas “Sodu reģistrs” pārzinis ir atbildīgs par personas datu apstrādes atbilstību Datu regulai un Likumam. Iekšlietu ministrijas Informācijas centram attiecīgajā gadījumā jābūt precīzi zināmam datu apjomam, kuru būs jāsniedz (vai kuru jādara pieejamu) Integrētai riska informācijas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tiesiskās skaidrības nodrošināšanai, kā arī, lai Iekšlietu ministrijas Informācijas centrs ievērotu datu apstrādes minimizēšanas principu, sniedzot Integrētai riska informācijas sistēmai ziņas no savām pārziņā esošajām informācijas sistēmām, nepieciešams precizēt projektu, norādot tajā ziņu apjomu, kuru paredzēts sniegt Integrētai riska informācijas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sākotnējās ietekmes (</w:t>
            </w:r>
            <w:r w:rsidR="00000000" w:rsidRPr="00000000" w:rsidDel="00000000">
              <w:rPr>
                <w:i w:val="1"/>
                <w:rtl w:val="0"/>
              </w:rPr>
              <w:t xml:space="preserve">ex-ante</w:t>
            </w:r>
            <w:r w:rsidR="00000000" w:rsidRPr="00000000" w:rsidDel="00000000">
              <w:rPr>
                <w:rtl w:val="0"/>
              </w:rPr>
              <w:t xml:space="preserve">) novērtējuma ziņojums (anotācija) (turpmāk – anotācija) kā tiesību palīgavots var tikt izmantots noteikumos ietverto tiesību normu jēgas un mērķa noskaidrošanā, bet tikai tiktāl, ciktāl anotācijā ietvertie apsvērumi un ieceres atspoguļotas izdoto Ministru kabineta noteikumu tekstā. Ja izdoto Ministru kabineta noteikumu tekstā nav ietverts nepieciešamais regulējums, noteikuma projekta anotāciju nevarēs izmantot, lai no tās atvasinātu tādas tiesību normas, kuras tās pieņēmējs nemaz nav ietvēris noteikumu projekta tekstā. Tas būtu pretēji tiesiskās noteiktības un paredzamības principam (</w:t>
            </w:r>
            <w:r w:rsidR="00000000" w:rsidRPr="00000000" w:rsidDel="00000000">
              <w:rPr>
                <w:i w:val="1"/>
                <w:rtl w:val="0"/>
              </w:rPr>
              <w:t xml:space="preserve">Latvijas Republikas Senāta Administratīvo lietu departamenta 2024.gada 27.februāra spriedums lietā Nr. A420214322, SKA-335/2024</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 Kriminālprocesa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dati par kriminālprocesiem, kas uzsākti Valsts ieņēmumu dienestā tiek padoti no Integrētās Iekšlietu ministrijas sistēmas uz Kriminālprocesa informācijas sistēmu. Valsts ieņēmumu dienestam tiek nodrošināta šo datu pieejamība atbilstoši Kriminālprocesa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2010.gada 14.septembra noteikumu Nr.850 “Kriminālprocesa informācijas sistēmas noteikumi” 14.punkts nosaka to informācijas apjomu, ko Kriminālprocesa informācijas sistēmas lietotājs var iegūt bez procesa virzītāja atļaujas. Līdz ar to, lai iegūtu visas ziņas par kriminālprocesu no Kriminālprocesa informācijas sistēmas ir nepieciešama procesa virzītāja atļauja un automatizēta datu apmaiņa bez kriminālprocesa virzītāja atļaujas izsniegšanas ir pretrunā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projektu, nosakot, kā notiks datu apmaiņa ar valsts informācijas sistēmām, gadījumos, kad normatīvie akti paredz procesa virzītāja atļaujas saņemšanu par noteiktu ziņu iegūšanu.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1.3.sadaļā norādīts, ka no valsts informācijas sistēmas “Ieroču reģistrs” paredzēts iegūt ziņas par personas dzimumu.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projektu un norādot tajā ziņu apjomu, kuru paredzēts sniegt Integrētai riska informācijas sistēmai, paredzēt, ka ziņas par personas dzimumu no valsts informācijas sistēmas “Ieroču reģistrs” netiek iegūtas.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2020.gada 4.februāra noteikumi Nr.76 “Ieroču reģistra noteikumi” neparedz uzkrāt šāda veida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Valsts ieņēmumu dienestam ir nepieciešamas šāda veida ziņas, lūgums norādīt citu to iegūšanas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1.3.sadaļā norādīts, ka no valsts informācijas sistēmas “Integrētā iekšlietu informācijas sistēma” apakšsistēmas “Ceļu policijas reģistrs” paredzēts iegūt ziņas par personas darba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projektu un norādot tajā ziņu apjomu, kuru paredzēts sniegt Integrētai riska informācijas sistēmai, paredzēt, ka ziņas par personas darba vietu no valsts informācijas sistēmas “Integrētā iekšlietu informācijas sistēma” apakšsistēmas “Ceļu policijas reģistrs” netiek iegūtas.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2010.gada 26.janvāra noteikumi Nr.75 “Ceļu satiksmes negadījumu, tajos cietušo un bojā gājušo personu reģistrācijas un uzskaites noteikumi” un Ministru kabineta 2014.gada 23.septembra noteikumi Nr.563 “Noteikumi par ziņu sniegšanu un saņemšanu no Sodu reģistra, valsts nodevas apmēru un izziņas noformēšanas prasībām” neparedz uzkrāt šāda veida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Valsts ieņēmumu dienestam ir nepieciešamas šāda veida ziņas, lūgums norādīt citu to iegūšanas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 Valsts policijas Kriminālizlūkošanas atbalsta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2022.gada 18.janvāra noteikumos Nr.37 "Kriminālizlūkošanas atbalsta informācijas sistēmas noteikumi" noteikto, svītrot projekta 18.9.apakšpunktā vārdus "Valsts policijas".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Valsts policijas Kriminālizlūkošanas atbalsta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2022.gada 18.janvāra noteikumos Nr.37 "Kriminālizlūkošanas atbalsta informācijas sistēmas noteikumi" noteikto, svītrot projekta 19.3.apakšpunktā vārdus "Valsts policijas".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23-TA-749</w:t>
    </w:r>
    <w:r>
      <w:br/>
    </w:r>
    <w:r w:rsidR="00000000" w:rsidRPr="00000000" w:rsidDel="00000000">
      <w:rPr>
        <w:rtl w:val="0"/>
      </w:rPr>
      <w:t xml:space="preserve">Izdrukāts 09.07.2024. 14.47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23-TA-749</w:t>
    </w:r>
    <w:r>
      <w:br/>
    </w:r>
    <w:r w:rsidR="00000000" w:rsidRPr="00000000" w:rsidDel="00000000">
      <w:rPr>
        <w:rtl w:val="0"/>
      </w:rPr>
      <w:t xml:space="preserve">Izdrukāts 09.07.2024. 14.47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Atzinumi_23-TA-749.docx</dc:title>
</cp:coreProperties>
</file>

<file path=docProps/custom.xml><?xml version="1.0" encoding="utf-8"?>
<Properties xmlns="http://schemas.openxmlformats.org/officeDocument/2006/custom-properties" xmlns:vt="http://schemas.openxmlformats.org/officeDocument/2006/docPropsVTypes"/>
</file>