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vienotas patērētāju kreditētāju licencēšanas un uzraudzības institūcijas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(Izziņa_25-TA-3014_par DelfinGroup iebildumu)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"VIA SMS"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VIA SMS, reģistrācijas numurs 40103259867, (turpmāk – Sabiedrība) ir iepazinusies ar Finanšu ministrijas sniegto vērtējumu par Sabiedrības 05.01.2026. iebildumiem par informatīvo ziņojumu “Par vienotas patērētāju kreditētāju licencēšanas un uzraudzības institūcijas noteikšanu” (turpmāk – Ziņojums) un tā pielikumu “Citu valstu pieredze nebanku patērētāju kreditētāju licencēšanā un uzraudzībā” (turpmāk – Pielikums).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Finanšu ministrijas atbildi, Sabiedrība secina, ka vairāki būtiski Sabiedrības iebildumi nav atspēkoti pēc būtības, kā arī Finanšu ministrijas argumentācija vairākās vietās ir vispārīga, nepietiekami pamatota ar faktiem un ietekmes analīzi, tādēļ Sabiedrība uztur spēkā savus iepriekš paustos iebildumus un sniedz šādus atkārtotus komentārus.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w:t>
            </w:r>
            <w:r w:rsidR="00000000" w:rsidRPr="00000000" w:rsidDel="00000000">
              <w:rPr>
                <w:b w:val="1"/>
                <w:rtl w:val="0"/>
              </w:rPr>
              <w:t xml:space="preserve">[I] Par uzraudzības “sadrumstalotības” argumentu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vērtējumā atkārtoti norādīts, ka patērētāju kreditēšanas uzraudzība Latvijā esot sadrumstalota, jo licencēšanas un uzraudzības funkcijas veic vairākas institūcijas (LB, PTAC, VID).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Finanšu ministrija savā vērtējumā nav pamatojusi, kādēļ pašreizējā institucionālā struktūra pati par sevi būtu neefektīva, radītu sliktākus uzraudzības rezultātus, vai objektīvi palielina administratīvo slogu tirgus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minētie piemēri (kredītiestāde Latvijas Bankas uzraudzībā, meitas sabiedrība PTAC uzraudzībā; NILLTPFN uzraudzība starp PTAC un VID) raksturo funkcionālu specializāciju, nevis uzraudzības neefektivitāti. Šāda pieeja ir plaši izplatīta arī citās ES dalībvalstīs, ko apliecina pats Ziņojuma pielikums par citu valstu pieredzi.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atbildē nav analizēta alternatīva, proti, esošo uzraudzības institūciju sadarbības uzlabošana (kopīgi pieprasījumi, koordinētas pārbaudes, vienota metodika), kas varētu sasniegt tos pašus mērķus bez uzraugošās iestādes maiņas. Ziņojumā nav skaidri identificēta konkrēta problēma, kuru paredzēts risināt ar uzraudzības institūcijas maiņu. Nav sniegti dati vai analītiski secinājumi, kas apliecinātu, ka esošā uzraudzības sistēma pati par sevi ir neefektīva vai ka uzraudzības iestādes maiņa novērstu konkrētus konstatētos trūkumus patērētāju aizsardzībā vai tirgus uzraudzībā.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skaidri definētas problēmas nav iespējams izvērtēt piedāvātā risinājuma atbilstību un samērīgumu, kā to prasa gan Valsts pārvaldes iekārtas likuma principi, gan labas likumdošanas prakse.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Par administratīvā sloga samazināšanu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vērtējumā tiek apgalvots, ka uzraudzības centralizācija mazinās administratīvo slogu un funkciju dublēšanos, tomēr netiek sniegts neviens kvantitatīvs ietekmes novērtējums, kas šo apgalvojumu pamatotu.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pirms šādu izmaiņu virzīšanas būtu nepieciešams izvērtēt un skaidri sniegt redzējumu, cita starpā, par sekojošiem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kuri esošie ziņošanas pienākumi tiktu atcelti vai apvienoti;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būtu datu pieprasījumu apjoms un biežums pēc iespējamajām uzraudzības izmaiņām;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tiktu ieviesti vienoti datu formāti, tehniskās specifikācijas un ziņošanas termiņi;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būtu prasības attiecībā uz jaunu IT risinājumu vai sistēmu pielāgošanu (tostarp datu struktūras, integrācijas, API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regulatora maiņa  nozīmētu jaunu iekšējo politiku, procedūru un kontroles mehānismu ieviešanu, un kādas būs ar to saistītās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tiktu nodrošināta proporcionalitātes principa praktiska piemērošana mazajiem un vidējiem tirgus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būtu iespējamās izmaiņas datu bāzu, reģistru un informācijas sistēmu pieejamībā patērētāju kreditēšanas uzņēmumiem, kā arī ar to saistītajās izmaksās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ir paredzētais pārejas periods un vai tas būs pietiekams, lai tirgus dalībnieki varētu pielāgoties bez būtiska darbības traucējuma.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detalizētas analīzes deklarētais administratīvā sloga samazinājums ir formāls, un pastāv būtisks risks, ka pārejas periodā administratīvais slogs tieši pretēji – palielināsies, jo īpaši mazajiem un vidējiem tirgus dalībniekiem, radot nesamērīgas izmaksas un negatīvu ietekmi.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 Par prudenciālās uzraudzības neieviešanu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atzinīgi vērtē Finanšu ministrijas sniegto skaidrojumu, ka prudenciālās prasības patērētāju kreditētājiem netiek plānotas. Vienlaikus Sabiedrība norāda, ka, mainoties uzraudzības metodikai, pieprasījumu intensitātei un normu interpretācijas praksei, pastāv risks, ka proporcionalitātes princips praksē netiks konsekventi piemērots, kas var radīt nesamērīgu administratīvo slogu atsevišķiem tirgus dalībniekiem. Ņemot vērā minēto, Sabiedrības ieskatā Ziņojums būtu papildināms ar detalizētu plānoto normatīvo aktu izmaiņu analīzi, tostarp izvērtējumu par to ietekmi uz uzraudzības praksi, administratīvo slogu un tirgus dalībnieku tiesisko drošību.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 Par patērētāju aizsardzības kompetenci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Finanšu ministrija savā vērtējumā nesniedz skaidrojumu Ziņojumā identificētajai pretrunai, proti, no vienas puses, Latvijas Bankas kompetencē šobrīd neietilpst patērētāju tiesību aizsardzība, no otras puses, uzraudzības pārcelšanas ieguvumos tiek uzskaitīti tieši patērētāju aizsardzības elementi, kurus jau šobrīd īsteno PTAC Patērētāju tiesību aizsardzības likuma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pamatojumā un publiskajā telpā tiek pieminētas t.sk. patērētāju intereses, Ziņojumā nav sniegti dati, kas apliecinātu,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sūdzību skaits būtu tieši saistīts ar uzraudzības modeli,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uzraudzības iestāde nespētu pildīt savas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pārcelšana automātiski uzlabotu patērētāju tiesību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interešu aizsardzība nevar kalpot par vispārīgu argumentu strukturālām reformām bez konkrēta un pierādāma pamata.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pastāv bažas, ka patērētāju kreditēšana tiks skatīta caur finanšu stabilitātes prizmu, nevis caur sociālās aizsardzības un pieejamības prizmu.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 Par FinTech attīstības politiku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norāda, ka FinTech attīstība nav reducējama tikai uz patērētāju kreditēšanu. Sabiedrība uzsver, ka tās iebildums nav par FinTech  jēdziena tvērumu vai nozares attīstību kā tādu, bet gan par normatīvās vides stabilitāti, tiesisko paredzamību un regulējuma samērīgumu. Vienlaikus Sabiedrība vērš uzmanību, ka Finanšu ministrijas minētais FinTech segmentu uzskaitījums nav pilnīgs, turklāt būtiska daļa FinTech pakalpojumu sniedzēju Latvijā nav licencēti un/vai uzraudzīti Latvijas Bankas kompetences ietvaros, jo tie neatbilst normatīvajos aktos noteiktajai uzraudzības subjekta definīcijai. Līdz ar to apgalvojums, ka ievērojama daļa FinTech uzņēmumu jau šobrīd atrodas Latvijas Bankas uzraudzībā, nav faktoloģiski korekts.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Sabiedrība atkārtoti aicina Finanšu Ministriju pirms normatīvo izmaiņu virzīšanas: veikt pilnvērtīgu un caurskatāmu ietekmes novērtējumu, izvērtēt alternatīvus risinājumus  uzraudzības efektivitātes un institūciju sadarbības uzlabošanai, nodrošināt  skaidru, pārskatāmu un tiesiski drošu pārejas perioda regulējumu; un proporcionalitātes principa ievērošanu attiecībā uz tirgus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Sabiedrība norāda, ka vairāki tās iepriekš sniegtie iebildumi nav tikuši izvērtēti un par tiem nav saņemti Finanšu ministrijas komentāri. Sabiedrības ieskatā šāda argumentu ignorēšana, ja netiek sniegts pretējs pamatojums, ir uzskatāma par netiešu piekrišanu izteiktajiem argumentiem.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atkārtoti aicina informatīvo ziņojumu “Par vienotas patērētāju kreditētāju licencēšanas un uzraudzības institūcijas noteikšanu” tālāk nevirzīt un saglabāt nebanku kreditētāju uzraudzību Patērētāju tiesību aizsardzības centra kompetencē.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Eduards Lapkovskis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22.01.2026.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22.01.2026.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Atzinumi_25-TA-3014.docx</dc:title>
</cp:coreProperties>
</file>

<file path=docProps/custom.xml><?xml version="1.0" encoding="utf-8"?>
<Properties xmlns="http://schemas.openxmlformats.org/officeDocument/2006/custom-properties" xmlns:vt="http://schemas.openxmlformats.org/officeDocument/2006/docPropsVTypes"/>
</file>