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3. februāra noteikumos Nr. 108 "Normatīvo aktu projektu sagatavošanas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3. februāra noteikumos Nr. 108 "Normatīvo aktu projektu sagatavošanas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 panta 2.punkts nosaka, ka pašvaldība ir  atvasināta publiska persona, līdz ar ko MK noteikumu projektā atsevišķās vietās jāprecizē, jākonkretizē lietotais termins "atvasināta publiska persona", papildinot to ar vārdiem “izņemot pašvaldības”, jo tādejādi MK noteikumu projekts rada pretruna starp līdzšinējo, spēkā esošo  Ministru kabineta 2009. gada 3. februāra noteikumu Nr. 108 “Normatīvo aktu projektu sagatavošanas noteikumi”  3.5. apakšnodaļā  un 6.nodaļā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anotācijā iekļaut skaidrojumu, ka normas mērķis atsevišķos gadījumos ir noteikt vienotas prasības atvasinātām publiskām personām, izņemot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16.08.2024.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16.08.2024.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Atzinumi_23-TA-767.docx</dc:title>
</cp:coreProperties>
</file>

<file path=docProps/custom.xml><?xml version="1.0" encoding="utf-8"?>
<Properties xmlns="http://schemas.openxmlformats.org/officeDocument/2006/custom-properties" xmlns:vt="http://schemas.openxmlformats.org/officeDocument/2006/docPropsVTypes"/>
</file>