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24-TA-541: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4.2.1.8. pasākuma "Augstskolu studiju vides modernizācija" pirmās un otrās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Pasākuma pirmās kārtas ietvaros projektu īsteno saskaņā ar noslēgto līgumu par projekta īstenošanu, bet ne vēlāk kā līdz 2024. gada 31. oktobrim.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projektu īstenošanas termiņu, norādot 2026.gada 31.oktobri.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Rokpelne (KM)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Pasākuma pirmās kārtas finansējuma saņēmējs īsteno projektu, kas nav saistīts ar saimnieciskās darbības veikšanu, ievērojot sekojošo: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27.punktu, izsakot to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Pasākuma pirmās kārtas finansējuma saņēmējs īsteno projektu, kurā sniegtais atbalsts nav uzskatāms par komercdarbības atbalstu, ievērojot sekojošo: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Rokpelne (KM)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 lai atbalsts pirmās kārtas projekta īstenošanai netiktu kvalificēts kā komercdarbības atbalsts, projekta īstenošanas rezultātā ieņēmumu un izdevumu attiecība atbalstītajā objektā ir mazāka par 50 procentiem no kultūras jomas pakalpojumu sniedzēja gada budžeta atbalstītajā objektā;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27.1. apakšpunktu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atbalsts pirmās kārtas projekta īstenošanai netiktu kvalificēts kā komercdarbības atbalsts, projekta īstenošanas rezultātā ieņēmumu un izdevumu attiecība atbalstītajā objektā ir mazāka par 50 procentiem no kultūras jomas pakalpojumu sniedzēja gada budžeta un projektam nav saimnieciska rakstura;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Rokpelne (KM)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Sadarbības iestāde saskaņā ar atbildīgās iestādes izstrādāto papildinošas saimnieciskās darbības uzraudzības metodiku nodrošina veikto investīciju atbilstības uzraudzību visā projekta dzīves ciklā. Pasākuma pirmās un otrās kārtas finansējuma saņēmēji visā projekta dzīves ciklā ik gadu sagatavo pārskatu par papildinošas saimnieciskās darbības apjomu un nodrošina šajā punktā minēto pārskatu un aprēķinus pamatojošo dokumentu pieejamību papildinošas saimnieciskās darbības uzraudzībai. Ja finansējuma saņēmējs konstatē, ka ir pārsniegts 20 procentu ierobežojums no infrastruktūras gada jaudas platības, laika vai finanšu izteiksmē vai ka veiktās investīcijas tiek izmantotas citai saimnieciskai darbībai, kas nav uzskatāma par papildinošu saimniecisku darbību, tad saskaņā ar vienošanos vai līgumu par projekta īstenošanu noteiktajā termiņā iesniedz sadarbības iestādē ziņojumu par konstatēto pārkāpumu.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62.punktu, ņemot vērā to, ka pirmās kārtas ietvaros valsts atbalsta nosacījumu piemērošanā netiek izmantots papildinošās saimnieciskās darbības aprēķins, bet gan 50% aprēķins ieņēmumu/izdevumu uzskaitē (skatīt noteikumu projekta 27.punktu), attiecīgi, lai nodrošinātu vienotu pieeju visām augstākajām kultūrizglītības iestādēm, lūdzam precizēt komercdarbības atbalsta piemērošanas nosacījumus arī pārējām otrajā kārtā iekļautajām kultūrizglītības iestādēm pēc analoģijas ar pirmo kārtu.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Rokpelne (KM)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nepiemērot 20% papildinošās saimnieciskās darbības kritēriju valsts atbalsts izvērtēšanā, tā kā anotācijā norādīts, ka otrās kārtas ietvaros tiks vērtēta arī 50% ieņēmumu/izdevumu proporcija atbalstītajā objektā.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informējam, ka pastāv divi atšķirīgi, savstarpēji nodalāmi koncepti kā noteikt, vai pasākumā tiek sniegts atbalsts saimnieciskai 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PSD pieļaušana ierobežotā apmērā (ar pamata nesaimniecisko infrastruktūru nesaraujami saistīta saimnieciskā darbība, kas nepārsniedz 20% no infrastruktūras kopējās gada jaudas) 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nosacījums, ka ieņēmumi nepārsniedz pusi no izdevumiem, kas ekskluzīvi attiecināms tikai uz kultūru un izglītību, lai darbības infrastruktūrā joprojām uzskatītu par tādām, kurām nav saimnieciska rakstura.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komercdarbības atbalsta kontroles regulējums šajā pasākumā pieļauj izmantot abus variantus. Atbalsta sniedzējam, izstrādājot atbalsta pasākumus, ir rīcības brīvība, kuru no šiem konceptiem iekļaut atbalsta pasākuma tiesiskajā regulējumā, tomēr nosakot 20% PSD piemērošanu, finansējuma saņēmējiem tiek noteiktas stingrākas prasības. Ņemot vērā, ka šobrīd tiek meklēti risinājumi kā finansējuma saņēmējiem samazināt administratīvo slogu, nacionāli neparedzot stingrākas prasības un pienākumus, kā to paredz EK izstrādātie nosacījumi, lūdzam visām kultūras un kultūrizglītības iestādēm saimnieciskas darbības izvērtēšanai piemērot 50% saimnieciskās darbības kritēriju.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Rokpelne (KM)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sadaļā "Pašreizējā situācija, problēmas un risinājumi" daļā "Risinājuma apraksts" lūdzam informāciju par valsts atbalsta izvērtēšanu "Pasākuma otrās kārtas finansējuma saņēmēji īsteno projektus, kuriem atbalsts nekvalificējas kā komercdarbības atbalsts, ievērojot sekojošo": papildināt ar šādu teikumu: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atbalsts otrās kārtas projektu īstenošanai netiktu kvalificēts kā komercdarbības atbalsts, projekta īstenošanas rezultātā ieņēmumu un izdevumu attiecība atbalstītajā objektā ir mazāka par 50 procentiem no izglītības jomas pakalpojumu sniedzēja gada budžeta un projektam nav saimnieciska rakstura".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Rokpelne (KM)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sadaļas "Pašreizējā situācija, problēmas un risinājumi" daļā "Risinājuma apraksts" lūdzam aizstāt esošo teikumu "Vienlaikus, lai nodrošinātu investīciju nepārklāšanos, Latvijas Kultūras akadēmijai paredzēts finansējums pasākuma 4.2.1.8. pirmās kārtas ietvaros, tādējādi pasākumā 4.2.1.8. nodrošinot viena projekta iesnieguma iesniegšanu vienam projekta iesniedzējam." ar jaunu informāciju, kas izteikta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Latvijas Kultūras akadēmijai paredzēts finansējums pasākuma 4.2.1.8. trešās kārtas ietvaros, lai pabeigtu ēkas modernizēšanu un pielāgošanu mūsdienīgas studiju vides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Rokpelne (KM)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Latvijas Kultūras akadēmija arī ir augstākā izglītības iestāde, lūdzam to atsevišķi neizdalīt juridisko personu uzskaitījumā.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Rokpelne (KM)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Noteikt, ka 2024. gadā līdz veiktajiem grozījumiem esošajā līgumā par projekta īstenošanu ar Centrālo finanšu un līgumu aģentūru kā Eiropas Savienības fondu 2021. – 2027. gada plānošanas perioda sadarbības iestādi (turpmāk – sadarbības iestāde) Eiropas Savienības kohēzijas politikas programmas 2021. – 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4.2.1.8. pasākuma „Augstskolu studiju vides modernizācija” (turpmāk – 4.2.1.8. pasākums) pirmās projektu iesniegumu atlases kārtas īstenošanas uzsākšanai nepieciešamo finansējumu līdz 1 728 898 </w:t>
            </w:r>
            <w:r w:rsidR="00000000" w:rsidRPr="00000000" w:rsidDel="00000000">
              <w:rPr>
                <w:i w:val="1"/>
                <w:rtl w:val="0"/>
              </w:rPr>
              <w:t xml:space="preserve">euro </w:t>
            </w:r>
            <w:r w:rsidR="00000000" w:rsidRPr="00000000" w:rsidDel="00000000">
              <w:rPr>
                <w:rtl w:val="0"/>
              </w:rPr>
              <w:t xml:space="preserve">apmērā (tai skaitā Eiropas Reģionālās attīstības fonda finansējums – 1 469 563 </w:t>
            </w:r>
            <w:r w:rsidR="00000000" w:rsidRPr="00000000" w:rsidDel="00000000">
              <w:rPr>
                <w:i w:val="1"/>
                <w:rtl w:val="0"/>
              </w:rPr>
              <w:t xml:space="preserve">euro</w:t>
            </w:r>
            <w:r w:rsidR="00000000" w:rsidRPr="00000000" w:rsidDel="00000000">
              <w:rPr>
                <w:rtl w:val="0"/>
              </w:rPr>
              <w:t xml:space="preserve"> un valsts budžeta līdzfinansējums – 259 335 </w:t>
            </w:r>
            <w:r w:rsidR="00000000" w:rsidRPr="00000000" w:rsidDel="00000000">
              <w:rPr>
                <w:i w:val="1"/>
                <w:rtl w:val="0"/>
              </w:rPr>
              <w:t xml:space="preserve">euro</w:t>
            </w:r>
            <w:r w:rsidR="00000000" w:rsidRPr="00000000" w:rsidDel="00000000">
              <w:rPr>
                <w:rtl w:val="0"/>
              </w:rPr>
              <w:t xml:space="preserve">) attiecināmo izmaksu segšanai nodrošina no 74. resora „Gadskārtējā valsts budžeta izpildes procesā pārdalāmais finansējums" programmas 80.00.00 „Nesadalītais finansējums Eiropas Savienības politiku instrumentu un pārējās ārvalstu finanšu palīdzības līdzfinansēto projektu un pasākumu īstenošanai" normatīvajos aktos noteiktajā kārtībā valsts akciju sabiedrībai “Valsts nekustamie īpašumi” kā 4.2.1.8. pasākuma pirmās kārtas plānotajam finansējuma saņēmējam.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3. punktu, ņemot vērā, ka finansējums jau ir piešķirts un izmaksāts "posmotā" projekta finansējuma saņēmējam 4.2.1.8. pasākuma pirmās kārtas ietvaros.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Rokpelne (KM)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"Pašreizējā situācija, problēmas un risinājumi" sadaļā "Problēmas apraksts" informācijas izklāstā pie pirmās projektu iesniegumu atlases kārtas, pēdējo teikumu lūdzam izteikt šādā redakcijā: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 4.2.1.8. pasākuma pirmās kārtas ietvaros , ja pašu ieņēmumi atbalstītajā objektā ir 50 % vai mazāki par 50 % no kultūras jomas pakalpojumu sniedzēja gada budžeta, tad ir pieļauts veikt papildpakalpojumus, kuriem nav ietekmes uz tirdzniecību un konkurenci Eiropas Savienības iekšējā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Rokpelne (KM)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24-TA-541</w:t>
    </w:r>
    <w:r>
      <w:br/>
    </w:r>
    <w:r w:rsidR="00000000" w:rsidRPr="00000000" w:rsidDel="00000000">
      <w:rPr>
        <w:rtl w:val="0"/>
      </w:rPr>
      <w:t xml:space="preserve">Izdrukāts 16.08.2024. 15.56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24-TA-541</w:t>
    </w:r>
    <w:r>
      <w:br/>
    </w:r>
    <w:r w:rsidR="00000000" w:rsidRPr="00000000" w:rsidDel="00000000">
      <w:rPr>
        <w:rtl w:val="0"/>
      </w:rPr>
      <w:t xml:space="preserve">Izdrukāts 16.08.2024. 15.56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Atzinumi_24-TA-541.docx</dc:title>
</cp:coreProperties>
</file>

<file path=docProps/custom.xml><?xml version="1.0" encoding="utf-8"?>
<Properties xmlns="http://schemas.openxmlformats.org/officeDocument/2006/custom-properties" xmlns:vt="http://schemas.openxmlformats.org/officeDocument/2006/docPropsVTypes"/>
</file>