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un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deleģējumu, uz kura pamata izdodams noteikumu projekts. Proti, lūdzam svītrot atsauci uz Eiropas Savienības fondu 2021.–2027. gada plānošanas perioda vadības likuma 19. panta </w:t>
            </w:r>
            <w:r w:rsidR="00000000" w:rsidRPr="00000000" w:rsidDel="00000000">
              <w:rPr>
                <w:u w:val="single"/>
                <w:rtl w:val="0"/>
              </w:rPr>
              <w:t xml:space="preserve">14. punktu</w:t>
            </w:r>
            <w:r w:rsidR="00000000" w:rsidRPr="00000000" w:rsidDel="00000000">
              <w:rPr>
                <w:rtl w:val="0"/>
              </w:rPr>
              <w:t xml:space="preserve">, ņemot vērā, ka noteikumu projekts neregulē </w:t>
            </w:r>
            <w:r w:rsidR="00000000" w:rsidRPr="00000000" w:rsidDel="00000000">
              <w:rPr>
                <w:u w:val="single"/>
                <w:rtl w:val="0"/>
              </w:rPr>
              <w:t xml:space="preserve">finanšu instrumentu</w:t>
            </w:r>
            <w:r w:rsidR="00000000" w:rsidRPr="00000000" w:rsidDel="00000000">
              <w:rPr>
                <w:rtl w:val="0"/>
              </w:rPr>
              <w:t xml:space="preserve"> īstenošanas kārtību, pieejamo finansējumu,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atsauci ar minētā likuma 19. panta </w:t>
            </w:r>
            <w:r w:rsidR="00000000" w:rsidRPr="00000000" w:rsidDel="00000000">
              <w:rPr>
                <w:u w:val="single"/>
                <w:rtl w:val="0"/>
              </w:rPr>
              <w:t xml:space="preserve">6. punktu</w:t>
            </w:r>
            <w:r w:rsidR="00000000" w:rsidRPr="00000000" w:rsidDel="00000000">
              <w:rPr>
                <w:rtl w:val="0"/>
              </w:rPr>
              <w:t xml:space="preserve">, ņemot vērā, ka noteikumu projekts paredz vienkāršoto izmaksu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lūdzam arī papildināt noteikumu projektu ar 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Eiropas Savienības fondu 2021.–2027. gada plānošanas perioda vadības likuma 19. panta 6. un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4 705 881 </w:t>
            </w:r>
            <w:r w:rsidR="00000000" w:rsidRPr="00000000" w:rsidDel="00000000">
              <w:rPr>
                <w:i w:val="1"/>
                <w:rtl w:val="0"/>
              </w:rPr>
              <w:t xml:space="preserve">euro</w:t>
            </w:r>
            <w:r w:rsidR="00000000" w:rsidRPr="00000000" w:rsidDel="00000000">
              <w:rPr>
                <w:rtl w:val="0"/>
              </w:rPr>
              <w:t xml:space="preserve">, tai skaitā ERAF finansējums –4 000 000 </w:t>
            </w:r>
            <w:r w:rsidR="00000000" w:rsidRPr="00000000" w:rsidDel="00000000">
              <w:rPr>
                <w:i w:val="1"/>
                <w:rtl w:val="0"/>
              </w:rPr>
              <w:t xml:space="preserve">euro </w:t>
            </w:r>
            <w:r w:rsidR="00000000" w:rsidRPr="00000000" w:rsidDel="00000000">
              <w:rPr>
                <w:rtl w:val="0"/>
              </w:rPr>
              <w:t xml:space="preserve">un nacionālais līdzfinansējums, ko nodrošina no valsts budžeta līdzekļiem –  705 881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9.punktā norādīto finansējumu, nodrošinot, ka Eiropas Savienības fondu līdzfinansējums nepārsniedz 85% no kopējās attiecināmo izmaksu summas. Atbilstoši aktuālajai informācijai 2.6.1.1.pasākuma ietvaros plānots valsts budžeta līdzfinansējums 705 883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attiecīgus precizējumus un salāgot informāciju gan noteikumu projektā, gan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4 705 881 </w:t>
            </w:r>
            <w:r w:rsidR="00000000" w:rsidRPr="00000000" w:rsidDel="00000000">
              <w:rPr>
                <w:i w:val="1"/>
                <w:rtl w:val="0"/>
              </w:rPr>
              <w:t xml:space="preserve">euro</w:t>
            </w:r>
            <w:r w:rsidR="00000000" w:rsidRPr="00000000" w:rsidDel="00000000">
              <w:rPr>
                <w:rtl w:val="0"/>
              </w:rPr>
              <w:t xml:space="preserve">, tai skaitā ERAF finansējums –4 000 000 </w:t>
            </w:r>
            <w:r w:rsidR="00000000" w:rsidRPr="00000000" w:rsidDel="00000000">
              <w:rPr>
                <w:i w:val="1"/>
                <w:rtl w:val="0"/>
              </w:rPr>
              <w:t xml:space="preserve">euro </w:t>
            </w:r>
            <w:r w:rsidR="00000000" w:rsidRPr="00000000" w:rsidDel="00000000">
              <w:rPr>
                <w:rtl w:val="0"/>
              </w:rPr>
              <w:t xml:space="preserve">un nacionālais līdzfinansējums, ko nodrošina no valsts budžeta līdzekļiem –  705 881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vienīgais finansējuma saņēmējs ir akciju sabiedrība "Conexus Baltic Grid", lūdzam anotācijā sniegt pamatojumu nacionālā līdzfinansējuma nodrošināšanai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16.1. apakšpunktu šādā redakcijā: "izņemot izmaksas par projekta iesnieguma informācijas sagatavošanu un aizpildīšanu Kohēzijas politikas fondu vadības informācijas sistēmā", jo atbilstoši Eiropas Savienības fondu vadošās iestādes (turpmāk - vadošā iestāde) vadlīniju Nr.1.2. "Vadlīnijas attiecināmo izmaksu noteikšanai Eiropas Savienības kohēzijas politikas programmas 2021.-2027.gada plānošanas periodā" 33.punktam šīs izmaksas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izmaksas par ekspertu konsultācijām, kas nepieciešamas projekta sekmīgai realizācijai, nepārsniedzot piecus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šīs ekspertu konsultācijas nav uzskatāmas par projekta īstenošanas personālu, nepieciešamības gadījumā sākotnējās ietekmes izvērtējumu (anotāciju) papildinot ar skaidrojumu par šo ekspertu atšķirību no projekta īstenošanas personāla. Vienlaikus, ja tas ir projekta īstenošanas personāls, aicinām šīs izmaksas iekļaut pie noteikumu projekta 16.9.apakšpunkta.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komunikācijas un vizuālās identitātes prasību nodrošināšanas izmaksas. Attiecināmajās izmaksās iekļauj tikai obligātās Eiropas Savienības fondu komunikācijas un vizuālās identitātes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Nr.1.2. "Vadlīnijas attiecināmo izmaksu noteikšanai Eiropas Savienības kohēzijas politikas programmas 2021.-2027.gada plānošanas periodā" 5.2. apakšpunktam un 15. punktam, izmaksas obligāto komunikācijas un vizuālās identitātes prasību nodrošināšanai ir uzskatāmas par projekta netiešajām attiecināmajām izmaksām. Līdz ar to lūdzam šīs izmaksas plānot kā projekta netiešās attiecināmās izmaksas un attiecīgi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tiešās attiecināmās projekta vadības personāla izmaksas, kuras saskaņā ar regulas Nr. 2021/1060 55. panta 1. punktu projekta iesniegumā plāno kā vienu izmaksu pozīciju, piemērojot izmaksu vienoto likmi sešu procentu apmērā no šo noteikumu 16. punktā minētajām pārējām tiešajām attiecināmajām izmaksām, kas nav tiešās attiecināmās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personāla izmaksu likmes apmēru saskaņot ar vadošo iestādi, nosūtot aprēķinus uz sco@fm.gov.lv. Vienlaikus sākotnējās ietekmes izvērtējumā (anotācijā) lūdzam papildināt ar šādu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likmes aprēķinu, t.i., kā likme tika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funkciju un izmaksu nošķiršanu no likmē ietvertā personāla un tam paredzētajām izmaksām un pārējām darbībām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16. punktā minētās projekta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 punktā atsauci uz 16. punktu, jo 16. punkts nosaka projekta tiešās attiecināmās izmaksas, nevis netiešās attiecināmās izmaksas. Aicinām sākt noteikumu projekta 17. punkta redakciju ar vārdiem "Netiešās attiecināmās'', izsakot 17.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izvērtēta investīciju sociālekonomiskā lietderība, t.sk., anotācijai nav pievienots izmaksu un ieguvumu analīzes aprēķins, lai gan MK noteikumu Nr.408 (13.07.2023) protokollēmums nosaka: </w:t>
            </w:r>
            <w:r w:rsidR="00000000" w:rsidRPr="00000000" w:rsidDel="00000000">
              <w:rPr>
                <w:i w:val="1"/>
                <w:rtl w:val="0"/>
              </w:rPr>
              <w:t xml:space="preserve">"[..]atbildīgā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atlasē ir tikai 1 projekta iesniedzējs, aicinām izvērtēt plānoto investīciju lietderību visa specifiskā atbalsta mērķa līmenī un izmaksu un ieguvumu analīzi pievienot anotācijā, neuzliekot papildu slogu projektu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koriģēt anotācijā iekļauto rindkopu </w:t>
            </w:r>
            <w:r w:rsidR="00000000" w:rsidRPr="00000000" w:rsidDel="00000000">
              <w:rPr>
                <w:i w:val="1"/>
                <w:rtl w:val="0"/>
              </w:rPr>
              <w:t xml:space="preserve">"Atbilstoši Finanšuu ministrijas vadlīnijās Nr. 1.4. "Vadlīnijas Ministru kabineta noteikumu par specifiskā atbalsta mērķa īstenošanu izstrādei Eiropas Savienības fondu 2021.—2027. gada plānošanas periodā" noteiktajam izmaksu un ieguvumu analīzes veikšana 2.6.1. specifiskā atbalsta mērķa "Veicināt enerģijas starpsavienojumu un saistītās pārvades, sadales, uzglabāšanas un atbalsta infrastruktūras izbūvi, kā arī kritiskās enerģētikas infrastruktūras aizsardzību un uzlādes infrastruktūras izvēršanu" 2.6.1.2.pasākuma "Atjaunīgo energoresursu enerģijas veicināšana - biometāns" (turpmāk - pasākums) ietvaros nav attiecināma, ņemot vērā, ka nav plānots sniegt komercdarbības atbalstu, netiek plānoti neto ienākumi, kā arī neiestājas citi gadījumi, kuros obligāti veicama izmaksu un ieguvumu analīze."</w:t>
            </w:r>
            <w:r w:rsidR="00000000" w:rsidRPr="00000000" w:rsidDel="00000000">
              <w:rPr>
                <w:rtl w:val="0"/>
              </w:rPr>
              <w:t xml:space="preserve">, jo saskaņā ar minētajām vadlīnijām šajā atlasē ir jārīkojas atbilstoši MK noteikumu Nr.408 (13.07.2023) protokollēmumā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visi Latvijas iedzīvotāji.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5.punktā norādīto mērķa grupu, vai anotācijā pamatot atšķirības no  Eiropas Savienības Kohēzijas politikas programmā 2021.-2027.gadam norādītā "</w:t>
            </w:r>
            <w:r w:rsidR="00000000" w:rsidRPr="00000000" w:rsidDel="00000000">
              <w:rPr>
                <w:i w:val="1"/>
                <w:rtl w:val="0"/>
              </w:rPr>
              <w:t xml:space="preserve">Enerģijas infrastruktūras pārvades un sadales operatori, dabasgāzes pārvades sistēmas operators, Latvijas iedzīvotāji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var iesniegt vienu vai vairākus projektu iesniegumus par summu, kas nepārsniedz šo noteikumu 8.punktā noteikto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punktu, norādot korektu atsauci uz atbilstošo noteikumu projekta punktu (t.i. 9. punktu), kā arī viennozīmīgas interpretācijas nolūkos lūdzam izteikt punktu piedāvātajā redakcijā, ņemot vērā, ka noteikumu projekta 9. punktā minēti dažādi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visu noteikumu projektu un precizēt, kur attiecināms, atsauces uz noteikumu projekta punktiem un apakšpunktiem, norādot korektu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precizējumi nepieciešami arī noteikumu projekta 14., 17. punktā un 16.7. un 22.1.apakšpunktā. Anotācijā atsauce jāprecizē 1.3.sadaļas apakšsadaļas “Risinājuma apraksts” teikumā, kas iesākas ar vārdiem un skaitli "Noteikumu projekta 17. punktā minētās izmaksas, kas finansējamas ārpus projekta, netiek norādītās projekta iesniegumā,...", ņemot vērā, ka par izmaksām, kas finansējamas ārpus projekta, minēts noteikumu projekta 19.punktā.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var iesniegt vienu vai vairākus projektu iesniegumus par summu, kas nepārsniedz šo noteikumu </w:t>
            </w:r>
            <w:r w:rsidR="00000000" w:rsidRPr="00000000" w:rsidDel="00000000">
              <w:rPr>
                <w:u w:val="single"/>
                <w:rtl w:val="0"/>
              </w:rPr>
              <w:t xml:space="preserve">9.punktā</w:t>
            </w:r>
            <w:r w:rsidR="00000000" w:rsidRPr="00000000" w:rsidDel="00000000">
              <w:rPr>
                <w:rtl w:val="0"/>
              </w:rPr>
              <w:t xml:space="preserve"> noteikto </w:t>
            </w:r>
            <w:r w:rsidR="00000000" w:rsidRPr="00000000" w:rsidDel="00000000">
              <w:rPr>
                <w:u w:val="single"/>
                <w:rtl w:val="0"/>
              </w:rPr>
              <w:t xml:space="preserve">kopējā attiecināmā finansējuma</w:t>
            </w:r>
            <w:r w:rsidR="00000000" w:rsidRPr="00000000" w:rsidDel="00000000">
              <w:rPr>
                <w:rtl w:val="0"/>
              </w:rPr>
              <w:t xml:space="preserve">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lieku administratīvo slogu, vērtējot finansējuma ierobežojuma ievērošanu, kā arī neapgrūtinātu finansējuma saņēmēju, meklējot risinājumus situācijās, ja iepirkumu rezultātā faktiski piedāvātās darbu izmaksas pārsniedz ierobežojumus, lūdzam izvērtēt, vai procentuālais ierobežojums (10%) ir samērīgs un vai tas noteikumu projektā ir objektīvi nepieciešams (t.i., vai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Atbildīgās iestādes vērtējumā visas 16.1.apakšpunktā norādītās izmaksu pozīcijas ir akceptējamas, tad ierobežojumu pārsniegumu gadījumā finansējums jāsedz ar ārpus projekta izmaksām, kas ne vienmēr ir pieejamas, tādejādi radot risku projekta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teritorijas labiekārtošanas izmaksas,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attiecināmas ir tikai tādas teritorijas labiekārtošanas izmaksas, kuras radušās saistībā ar darbu veikšanu, kas nepieciešami objekta nodošanai ekpluatācijā.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nodrošinātu, ka projektā netiktu plānoti labiekārtošanas darbi, kam nav tieša saistība ar projekta mērķu un rezultātu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neparedzētie izdevumi, kas nepārsniedz piecus procentus no projekta kopējām attiecināmajām izmaksām un kuru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attiecināms gan uz 16.6, gan 16.7.apakšpunktu: lai neradītu lieku administratīvo slogu gan finansējuma saņēmējam, gan sadarbības iestādei, aicinām neparedzēt, ka neparedzēto izdevumu vai finanšu rezerves izmaksu izmantošana finansējuma saņēmējam jāsaskaņo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Atbildīgā iestāde ar noteikumu projektu atbalsta šādu izmaksu paredzēšanu projektā, tad objektīvas nepieciešamības gadījumā (piemēram, iepirkums par lielāku summu, nekā sākotnēji plānots) finansējuma saņēmējs šajās pozīcijās paredzēto finansējumu var izmantot esošo darbību īstenošanai un par to informēt sadarbības iestādi, iesniedzot maksājuma pieprasījumu un informējot par radušos situāciju (grozījumi projekta budzētā šādās situācijas var tikt veikti kopā ar kārtējiem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ar ko atšķiras 16.6.apakšpunktā norādītās izmaksas (neparedzētie izdevumi) un 16.7.apakšpunktā norādītās izmaksas (rezerves izmaksas) un vai finansējuma saņēmējam būs iespējams paredzēt tikai vienu no šīm izmaksu pozīcijām, ne abas reizē.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rezerves izmaksas, nepārsniedzot 10 procentus no attiecināmo būvniecības izmaksu kopsummas, ja projektā paredzētas būvniecības darbības un attiecināmajās izmaksās nav iekļauti šo noteikumu 18.6. apakšpunktā minētie neparedzētie izdevumi. Rezerves izmaksu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kādas izmaksas varētu ietilpt noteikumu projekta 16.7. apakšpunktā minētajās rezerves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valsts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16.8. apakšpunktā vārdus "ja vien tie nav atgūstami saskaņā ar valsts normatīvajiem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punktam darbībām (projektiem), kuru kopējās izmaksas ir mazākas nekā 5 000 000 euro (ieskaitot pievienotās vērtības nodokli (turpmāk - PVN)), PVN izmaksas </w:t>
            </w:r>
            <w:r w:rsidR="00000000" w:rsidRPr="00000000" w:rsidDel="00000000">
              <w:rPr>
                <w:u w:val="single"/>
                <w:rtl w:val="0"/>
              </w:rPr>
              <w:t xml:space="preserve">ir attiecināmas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Izmaksas, kas saskaņā ar šiem noteikumiem nav iekļaujamas kā attiecināmās izmaksas, ir finansējamas ārpus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19. punktu, norādot avotu, no kura finansējamas izmaksas ārpus projekta, kas saskaņā ar šo noteikumu projektu nav iekļaujamas kā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ieguldījumus infrastruktūrā, lūdzam papildināt noteikumu projektu ar nosacījumu par finansējuma saņēmēja tiesībām uz konkrēto objektu vai īpašumu, kurā plānots veikt ieguldījumus (īpašumā, ilgtermiņa nomā vai nodibinātas apbūves tiesības, bezatlīdzības lietošanā, valdījumā, turējumā u.c.). Vēršam uzmanību, ka finansējuma saņēmēja tiesībām uz konkrēto objektu vai īpašumu jābūt nostiprinātām Valsts vienotajā datorizētajā zemesgrāmatā (ja minētajam nosacījumam saskaņā ar nacionālo regulējumu ir izņēmums, tas attiecīgi aprakstāms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tai ir pieejami valsts budžeta līdzekļi, izvērtējot plānotā avansa apmēru un tā pamatojumu un pamatojoties uz finansējuma saņēmēja rakstisku avansa pieprasījumu, var piešķirt finansējuma saņēmējam avansu pēc civiltiesiskā līguma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Kohēzijas fonda finansējuma, ievērojot, ka avansu var izmaksāt vairākos maksājumos un avansa un starpposma maksājumu kopsumma nepārsniedz 90 procentus no projektam piešķirtā Kohēzijas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25. aprīļa noteikumu Nr. 205 "Valsts budžeta līdzekļu plānošanas kārtība Eiropas Savienības fondu projektu īstenošanai un maksājumu veikšanai 2021.–2027. gada plānošanas periodā" (turpmāk - noteikumi Nr. 205) 10. punkts paredz, ka </w:t>
            </w:r>
            <w:r w:rsidR="00000000" w:rsidRPr="00000000" w:rsidDel="00000000">
              <w:rPr>
                <w:i w:val="1"/>
                <w:rtl w:val="0"/>
              </w:rPr>
              <w:t xml:space="preserve">sadarbības iestāde, veicot avansa maksājumus, ievēro nosacījumu, ka </w:t>
            </w:r>
            <w:r w:rsidR="00000000" w:rsidRPr="00000000" w:rsidDel="00000000">
              <w:rPr>
                <w:i w:val="1"/>
                <w:u w:val="single"/>
                <w:rtl w:val="0"/>
              </w:rPr>
              <w:t xml:space="preserve">maksimālais avansa apjoms nevar pārsniegt 30 %</w:t>
            </w:r>
            <w:r w:rsidR="00000000" w:rsidRPr="00000000" w:rsidDel="00000000">
              <w:rPr>
                <w:i w:val="1"/>
                <w:rtl w:val="0"/>
              </w:rPr>
              <w:t xml:space="preserve"> no projektam piešķirtā Eiropas Savienības fonda finansējuma un, ja tas ir paredzēts projektā, valsts budžeta līdzfinansējuma kopsummas, ja vien normatīvajā aktā par specifiskā atbalsta mērķa īstenošanu nav paredzēts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anotācijā, kādēļ projekta īstenošanai nepieciešams lielāks avansa apmērs par noteikumos Nr. 205 noteikto, proti, 50 %.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lai nodrošinātu drošas finanšu vadības principa ievērošanu, lūdzam paredzēt, ka nākamo avansa maksājumu var saņemt tikai pēc tam, kad iepriekšējais ir izmantots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papildināt noteikumu projekta 20. punktu aiz vārdiem "no projektam piešķirtā Kohēzijas fonda finansējuma" ar vārdiem "un valsts budžeta līdzfinansējuma kopsummas", ņemot vērā Ministru kabineta 2023. gada 25. aprīļa noteikumu Nr. 205 10. un 16. punktā minēto kontekstā ar noteikumu projekta 9. punktā noteikto, ka ir plānots valsts budžeta līdzfinansējums. Vienlaikus vēršam uzmanību, ka noteikumu projekta 1.4. apakšpunkts paredz, ka tiek īstenots </w:t>
            </w:r>
            <w:r w:rsidR="00000000" w:rsidRPr="00000000" w:rsidDel="00000000">
              <w:rPr>
                <w:u w:val="single"/>
                <w:rtl w:val="0"/>
              </w:rPr>
              <w:t xml:space="preserve">Eiropas Reģionālās attīstības fonda</w:t>
            </w:r>
            <w:r w:rsidR="00000000" w:rsidRPr="00000000" w:rsidDel="00000000">
              <w:rPr>
                <w:rtl w:val="0"/>
              </w:rPr>
              <w:t xml:space="preserve">, nevis Kohēzijas fonda,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regulējuma viennozīmīgas interpretācijas nolūkos aicinām papildināt noteikumu projekta 20. punktu aiz vārdiem "civiltiesikā līguma" ar vārdiem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tai ir pieejami valsts budžeta līdzekļi, izvērtējot plānotā avansa apmēru un tā pamatojumu un pamatojoties uz finansējuma saņēmēja rakstisku avansa pieprasījumu, var piešķirt finansējuma saņēmējam avansu pēc civiltiesiskā līguma </w:t>
            </w:r>
            <w:r w:rsidR="00000000" w:rsidRPr="00000000" w:rsidDel="00000000">
              <w:rPr>
                <w:u w:val="single"/>
                <w:rtl w:val="0"/>
              </w:rPr>
              <w:t xml:space="preserve">par projekta īstenošanu</w:t>
            </w:r>
            <w:r w:rsidR="00000000" w:rsidRPr="00000000" w:rsidDel="00000000">
              <w:rPr>
                <w:rtl w:val="0"/>
              </w:rPr>
              <w:t xml:space="preserve">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w:t>
            </w:r>
            <w:r w:rsidR="00000000" w:rsidRPr="00000000" w:rsidDel="00000000">
              <w:rPr>
                <w:u w:val="single"/>
                <w:rtl w:val="0"/>
              </w:rPr>
              <w:t xml:space="preserve">ERAF</w:t>
            </w:r>
            <w:r w:rsidR="00000000" w:rsidRPr="00000000" w:rsidDel="00000000">
              <w:rPr>
                <w:rtl w:val="0"/>
              </w:rPr>
              <w:t xml:space="preserve"> finansējuma </w:t>
            </w:r>
            <w:r w:rsidR="00000000" w:rsidRPr="00000000" w:rsidDel="00000000">
              <w:rPr>
                <w:u w:val="single"/>
                <w:rtl w:val="0"/>
              </w:rPr>
              <w:t xml:space="preserve">un valsts budžeta līdzfinansējuma kopsummas</w:t>
            </w:r>
            <w:r w:rsidR="00000000" w:rsidRPr="00000000" w:rsidDel="00000000">
              <w:rPr>
                <w:rtl w:val="0"/>
              </w:rPr>
              <w:t xml:space="preserve">, ievērojot, ka avansu var izmaksāt vairākos maksājumos, </w:t>
            </w:r>
            <w:r w:rsidR="00000000" w:rsidRPr="00000000" w:rsidDel="00000000">
              <w:rPr>
                <w:u w:val="single"/>
                <w:rtl w:val="0"/>
              </w:rPr>
              <w:t xml:space="preserve">bet nākamo avansa maksājumu var saņemt pēc tam, kad iepriekšējais ieguldīts pilnā apmērā</w:t>
            </w:r>
            <w:r w:rsidR="00000000" w:rsidRPr="00000000" w:rsidDel="00000000">
              <w:rPr>
                <w:rtl w:val="0"/>
              </w:rPr>
              <w:t xml:space="preserve">, un avansa un starpposma maksājumu kopsumma nepārsniedz 90 procentus no projektam piešķirtā </w:t>
            </w:r>
            <w:r w:rsidR="00000000" w:rsidRPr="00000000" w:rsidDel="00000000">
              <w:rPr>
                <w:u w:val="single"/>
                <w:rtl w:val="0"/>
              </w:rPr>
              <w:t xml:space="preserve">ERAF</w:t>
            </w:r>
            <w:r w:rsidR="00000000" w:rsidRPr="00000000" w:rsidDel="00000000">
              <w:rPr>
                <w:rtl w:val="0"/>
              </w:rPr>
              <w:t xml:space="preserve"> finansējuma </w:t>
            </w:r>
            <w:r w:rsidR="00000000" w:rsidRPr="00000000" w:rsidDel="00000000">
              <w:rPr>
                <w:u w:val="single"/>
                <w:rtl w:val="0"/>
              </w:rPr>
              <w:t xml:space="preserve">un valsts budžeta līdzfinansējuma kopsummas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uzkrāj datus un sniedz informāciju sadarbības iestādei par projektā sasniegto šo noteikumu 5. punktā minētajiem uzraudzības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informācija tiek sniegta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uzkrāj datus un sniedz informāciju sadarbības iestādei Kohēzijas politikas fondu vadības informācijas sistēmā par projektā sasniegto šo noteikumu 5. punktā minētajiem uzraudzības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nodrošina, lai pasākuma ietvaros attiecināmās izmaksas nepārklātos ar citiem valsts un ārvalstu finanšu atbalsta instrumentiem un novērš dubultā 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privāto tiesību juridiskā persona, lūdzam papildināt noteikumu projektu ar regulējumu, ka finansējuma saņēmējs uzņemas segt sadārdzinājumu, piemēram, izsakot noteikumu projekta 22.3.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u w:val="single"/>
                <w:rtl w:val="0"/>
              </w:rPr>
              <w:t xml:space="preserve">uzņemas segt sadārdzinājumu,</w:t>
            </w:r>
            <w:r w:rsidR="00000000" w:rsidRPr="00000000" w:rsidDel="00000000">
              <w:rPr>
                <w:rtl w:val="0"/>
              </w:rPr>
              <w:t xml:space="preserve"> nodrošina, lai pasākuma ietvaros attiecināmās izmaksas nepārklātos ar citiem valsts un ārvalstu finanšu atbalsta instrumentiem un novērš dubultā 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finansējuma saņēmējs komunikācijas un vizuālās identitātes prasības nodrošinās gan saskaņā ar noteikumu projekta 22.5. apakšpunktā minēto regulējumu, gan arī ievēros vadlīnijas "ES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glabā projekta dokumentāciju un nodrošina tās pieejamību visā projekta īstenošanas laikā un uzraudzības periodā, kas nepārsniedz piecus gadus pēc pēdējā noslēguma maksājuma veikšanas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dokumentācijas glabāšana jānodrošina projekta īstenošanas laikā un </w:t>
            </w:r>
            <w:r w:rsidR="00000000" w:rsidRPr="00000000" w:rsidDel="00000000">
              <w:rPr>
                <w:b w:val="1"/>
                <w:rtl w:val="0"/>
              </w:rPr>
              <w:t xml:space="preserve">pēc</w:t>
            </w:r>
            <w:r w:rsidR="00000000" w:rsidRPr="00000000" w:rsidDel="00000000">
              <w:rPr>
                <w:rtl w:val="0"/>
              </w:rPr>
              <w:t xml:space="preserve">uzraudzības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glabā projekta dokumentāciju un nodrošina tās pieejamību visā projekta īstenošanas laikā un pēcuzraudzības periodā, kas nepārsniedz piecus gadus pēc pēdējā noslēguma maksājuma veikšanas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nodrošina interešu konflikta neesamību saskaņā ar Eiropas Parlamenta un Padomes 2024. gada 23. septembra Regulas (ES, Euratom) 2024/2509 par finanšu noteikumiem, ko piemēro Savienības vispārējam budžetam (pārstrādāta redakcija), 61. pantu un normatīvajiem aktiem publisko iepirkumu jomā, kā arī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22.8. apakšpunkta nepieciešamību, ņemot vērā konkrētā specifiskā atbalsta mērķa projekta veidu un to, ka Eiropas Parlamenta un Padomes 2024. gada 23. septembra Regulas (ES, Euratom) 2024/2509 par finanšu noteikumiem, ko piemēro Savienības vispārējam budžetam (pārstrādātā redakcija) 61. panta prasības ir tieši piemērojamas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w:t>
            </w:r>
            <w:r w:rsidR="00000000" w:rsidRPr="00000000" w:rsidDel="00000000">
              <w:rPr>
                <w:u w:val="single"/>
                <w:rtl w:val="0"/>
              </w:rPr>
              <w:t xml:space="preserve">daudzpakāpju projekti</w:t>
            </w:r>
            <w:r w:rsidR="00000000" w:rsidRPr="00000000" w:rsidDel="00000000">
              <w:rPr>
                <w:rtl w:val="0"/>
              </w:rPr>
              <w:t xml:space="preserve">). Turklāt vēršam uzmanību, ka publiskos iepirkumus regulējošajos normatīvajos aktos ir regulēts, kuriem subjektiem ir pienākums nodrošināt interešu konflikta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vēršam uzmanību, ka noteikumu projekta 22.6. apakšpunkts jau paredz finansējuma saņēmēja pienākumu izstrādāt vai izmantot jau esošu iekšējās kontroles sistēmu, ietverot tajā informāciju par interešu konflikta, krāpšanas, korupcijas risku un dubultā finansējuma novēršanas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atsauci uz 2025. gada Eiropas Savienības Padomes rekomendāciju Latvijai 4.ieteikumu, ņemot vērā, ka tajā ietverts ieteikums attiecībā uz transporta, jo īpaši autotransporta, dekarbonizāciju, veicinot elektrotransportlīdzekļu ieviešanu, atjaunīgo transporta degvielu ražošanas un uzpildes izvēršanu un uzlādes infrastruktūras paplašināšanu.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izvēlēto projekta iesniedzēju, ņemot vērā, ka 2.6.1.1.pasākums tiks īstenots ierobežotas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līdzīgi kā par pārējiem horizontālajiem principiem, ierosinām papildināt anotācijā informāciju par pasākuma ietekmi uz horizontālo principu "Nenodarīt būtisku kaitējumu" - tā ir tieša, netieša vai ietekmes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2025.gadu, attiecīgi ietekmi uz budžetu atspoguļojot 5. un 7.ailē. Vienlaikus punktā "Cita informācija" lūdzam norādīt ministriju, kura pieprasīs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biedrību un nodibinājumu iesaisti noteikumu projekta izstrādē, saskaņā ar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uzdevumu Klimata un enerģētikas ministrijai informēt Ministru kabinetu par priekšlikumiem rīcībai gadījumā, ja netiek saņemts pozitīvs Eiropas Komisijas lēmums par grozījumiem Eiropas Savienības kohēzijas politikas programmā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24.10.2025.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24.10.2025.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