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2455" w:rsidP="006C1102" w:rsidRDefault="00E32455" w14:paraId="12735189" w14:textId="77777777">
      <w:r w:rsidRPr="00E32455">
        <w:rPr>
          <w:b/>
          <w:bCs/>
        </w:rPr>
        <w:t>No:</w:t>
      </w:r>
      <w:r w:rsidRPr="00E32455">
        <w:t xml:space="preserve"> Inguna Dancīte &lt;inguna.dancite@fm.gov.lv&gt; </w:t>
      </w:r>
      <w:proofErr w:type="spellStart"/>
      <w:r w:rsidRPr="00E32455">
        <w:t>vārdāPasts</w:t>
      </w:r>
      <w:proofErr w:type="spellEnd"/>
      <w:r w:rsidRPr="00E32455">
        <w:t xml:space="preserve"> &lt;Pasts@fm.gov.lv&gt;</w:t>
      </w:r>
      <w:r w:rsidRPr="00E32455">
        <w:br/>
      </w:r>
      <w:r w:rsidRPr="00E32455">
        <w:rPr>
          <w:b/>
          <w:bCs/>
        </w:rPr>
        <w:t>Nosūtīts:</w:t>
      </w:r>
      <w:r w:rsidRPr="00E32455">
        <w:t> piektdiena, 2021. gada 28. maijs 14:53</w:t>
      </w:r>
      <w:r w:rsidRPr="00E32455">
        <w:br/>
      </w:r>
      <w:r w:rsidRPr="00E32455">
        <w:rPr>
          <w:b/>
          <w:bCs/>
        </w:rPr>
        <w:t>Kam:</w:t>
      </w:r>
      <w:r w:rsidRPr="00E32455">
        <w:t> SM Pasts</w:t>
      </w:r>
      <w:r w:rsidRPr="00E32455">
        <w:br/>
      </w:r>
      <w:r w:rsidRPr="00E32455">
        <w:rPr>
          <w:b/>
          <w:bCs/>
        </w:rPr>
        <w:t>Kopija:</w:t>
      </w:r>
      <w:r w:rsidRPr="00E32455">
        <w:t xml:space="preserve"> Normunds Egle; Sabīne Ālmane; Guna </w:t>
      </w:r>
      <w:proofErr w:type="spellStart"/>
      <w:r w:rsidRPr="00E32455">
        <w:t>Federe</w:t>
      </w:r>
      <w:proofErr w:type="spellEnd"/>
      <w:r w:rsidRPr="00E32455">
        <w:t xml:space="preserve">; Alvis Bless; Ieva </w:t>
      </w:r>
      <w:proofErr w:type="spellStart"/>
      <w:r w:rsidRPr="00E32455">
        <w:t>Mažuika</w:t>
      </w:r>
      <w:proofErr w:type="spellEnd"/>
      <w:r w:rsidRPr="00E32455">
        <w:t xml:space="preserve">; Gints </w:t>
      </w:r>
      <w:proofErr w:type="spellStart"/>
      <w:r w:rsidRPr="00E32455">
        <w:t>Trupovnieks</w:t>
      </w:r>
      <w:proofErr w:type="spellEnd"/>
      <w:r w:rsidRPr="00E32455">
        <w:t xml:space="preserve">; Jānis Ungurs; Līga Rozenberga; Inga Avotiņa; Jeļena Kuhaļska; Anna Priede; Egils </w:t>
      </w:r>
      <w:proofErr w:type="spellStart"/>
      <w:r w:rsidRPr="00E32455">
        <w:t>Zarakovskis</w:t>
      </w:r>
      <w:proofErr w:type="spellEnd"/>
      <w:r w:rsidRPr="00E32455">
        <w:t>; Kaspars.Sukurs@vid.gov.lv</w:t>
      </w:r>
      <w:r w:rsidRPr="00E32455">
        <w:br/>
      </w:r>
      <w:r w:rsidRPr="00E32455">
        <w:rPr>
          <w:b/>
          <w:bCs/>
        </w:rPr>
        <w:t>Tēma:</w:t>
      </w:r>
      <w:r w:rsidRPr="00E32455">
        <w:t> FM atzinums par precizēto TAP, VSS-765</w:t>
      </w:r>
    </w:p>
    <w:p w:rsidRPr="006C1102" w:rsidR="006C1102" w:rsidP="006C1102" w:rsidRDefault="006C1102" w14:paraId="6D0BBC79" w14:textId="77777777">
      <w:r w:rsidRPr="006C1102">
        <w:t>28.05.2021. Nr. 10.1-6/7-1/657</w:t>
      </w:r>
    </w:p>
    <w:p w:rsidRPr="006C1102" w:rsidR="006C1102" w:rsidP="006C1102" w:rsidRDefault="006C1102" w14:paraId="764A67A3" w14:textId="77777777">
      <w:r w:rsidRPr="006C1102">
        <w:t> </w:t>
      </w:r>
    </w:p>
    <w:p w:rsidRPr="006C1102" w:rsidR="006C1102" w:rsidP="006C1102" w:rsidRDefault="006C1102" w14:paraId="1F76D7D2" w14:textId="77777777">
      <w:r w:rsidRPr="006C1102">
        <w:t>Labdien!</w:t>
      </w:r>
    </w:p>
    <w:p w:rsidRPr="006C1102" w:rsidR="006C1102" w:rsidP="006C1102" w:rsidRDefault="006C1102" w14:paraId="2D4253A7" w14:textId="77777777">
      <w:r w:rsidRPr="006C1102">
        <w:t> </w:t>
      </w:r>
    </w:p>
    <w:p w:rsidRPr="006C1102" w:rsidR="006C1102" w:rsidP="006C1102" w:rsidRDefault="006C1102" w14:paraId="649008A1" w14:textId="77777777">
      <w:r w:rsidRPr="006C1102">
        <w:t>Finanšu ministrija atbilstoši kompetencei ir izskatījusi Satiksmes ministrijas precizēto likumprojektu "Elektronisko sakaru likums" VSS-765 (turpmāk – likumprojekts), tā sākotnējās ietekmes novērtējuma ziņojumu (anotāciju) un izziņu par atzinumos sniegtajiem iebildumiem, un izsaka tālāk minētos iebildumus un priekšlikumus.</w:t>
      </w:r>
    </w:p>
    <w:p w:rsidRPr="006C1102" w:rsidR="006C1102" w:rsidP="006C1102" w:rsidRDefault="006C1102" w14:paraId="04A7F5F6" w14:textId="77777777">
      <w:r w:rsidRPr="006C1102">
        <w:t> </w:t>
      </w:r>
    </w:p>
    <w:p w:rsidRPr="006C1102" w:rsidR="006C1102" w:rsidP="006C1102" w:rsidRDefault="006C1102" w14:paraId="3A93A04E" w14:textId="77777777">
      <w:r w:rsidRPr="006C1102">
        <w:rPr>
          <w:b/>
          <w:bCs/>
        </w:rPr>
        <w:t>Iebildumi.</w:t>
      </w:r>
    </w:p>
    <w:p w:rsidRPr="006C1102" w:rsidR="006C1102" w:rsidP="006C1102" w:rsidRDefault="006C1102" w14:paraId="4C79A42E" w14:textId="77777777">
      <w:r w:rsidRPr="006C1102">
        <w:t>1. Attiecībā uz likumprojekta 28.panta trešajā daļā ietverto regulējumu un anotācijas I sadaļas 2.punktā ietverto informāciju:</w:t>
      </w:r>
    </w:p>
    <w:p w:rsidRPr="006C1102" w:rsidR="006C1102" w:rsidP="006C1102" w:rsidRDefault="006C1102" w14:paraId="719C5C5D" w14:textId="77777777">
      <w:r w:rsidRPr="006C1102">
        <w:t>Likumprojekta 28.panta trešā daļa paredz, ka, iznomājot publiskas personas nekustamo īpašumu platjoslas elektronisko sakaru nodrošināšanas mērķim, uz nomas līgumu netiek attiecināta Publiskas personas finanšu līdzekļu un mantas izšķērdēšanas novēršanas likuma 6.</w:t>
      </w:r>
      <w:r w:rsidRPr="006C1102">
        <w:rPr>
          <w:vertAlign w:val="superscript"/>
        </w:rPr>
        <w:t>1</w:t>
      </w:r>
      <w:r w:rsidRPr="006C1102">
        <w:t xml:space="preserve"> panta pirmajā </w:t>
      </w:r>
      <w:proofErr w:type="spellStart"/>
      <w:r w:rsidRPr="006C1102">
        <w:t>prim</w:t>
      </w:r>
      <w:proofErr w:type="spellEnd"/>
      <w:r w:rsidRPr="006C1102">
        <w:t xml:space="preserve"> daļā iznomātājam noteiktā prasība ne retāk kā reizi sešos gados vienpusēji pārskatīt nomas maksas apmēru, kā arī anotācijas I sadaļas 2.punktā norādīts: “</w:t>
      </w:r>
      <w:r w:rsidRPr="006C1102">
        <w:rPr>
          <w:i/>
          <w:iCs/>
        </w:rPr>
        <w:t>Likumprojekts paredz, ka iznomājot publiskas personas nekustamo īpašumu platjoslas elektronisko sakaru nodrošināšanas mērķim, uz nomas līgumu netiek attiecināta Publiskas personas finanšu līdzekļu un mantas izšķērdēšanas novēršanas likuma 6.</w:t>
      </w:r>
      <w:r w:rsidRPr="006C1102">
        <w:rPr>
          <w:i/>
          <w:iCs/>
          <w:vertAlign w:val="superscript"/>
        </w:rPr>
        <w:t>1</w:t>
      </w:r>
      <w:r w:rsidRPr="006C1102">
        <w:rPr>
          <w:i/>
          <w:iCs/>
        </w:rPr>
        <w:t xml:space="preserve">.panta pirmajā </w:t>
      </w:r>
      <w:proofErr w:type="spellStart"/>
      <w:r w:rsidRPr="006C1102">
        <w:rPr>
          <w:i/>
          <w:iCs/>
        </w:rPr>
        <w:t>prim</w:t>
      </w:r>
      <w:proofErr w:type="spellEnd"/>
      <w:r w:rsidRPr="006C1102">
        <w:rPr>
          <w:i/>
          <w:iCs/>
        </w:rPr>
        <w:t xml:space="preserve"> daļā iznomātājam noteiktā prasība ne retāk kā reizi sešos gados vienpusēji pārskatīt nomas maksas apmēru. Šobrīd VASES datu bāzē ir reģistrētas 3180 unikālās vietas, kurās ir izvietotas mobilo sakaru pārklājuma nodrošināšanai izmantotās iekārtas, par kuru izmantošanu izsniegtas 15 417 atļaujas. Liela daļa iekārtu ir izvietotas publiskām personām piederošos īpašumos, piemēram, ūdenstorņiem, katlu māju skursteņiem u.c. Ņemot vērā nepieciešamību nodrošināt elektronisko sakaru pakalpojumu nepārtrauktību, elektronisko sakaru infrastruktūras specifiku un ekspluatācijas termiņus, kas bieži ir ilgāki par 20 gadiem, </w:t>
      </w:r>
      <w:r w:rsidRPr="006C1102">
        <w:rPr>
          <w:i/>
          <w:iCs/>
          <w:u w:val="single"/>
        </w:rPr>
        <w:t>nepieciešamība reizi sešos gados pārslēgt nomas līgumu vai pat atkārtoti iegūt nomas tiesības izsolē</w:t>
      </w:r>
      <w:r w:rsidRPr="006C1102">
        <w:rPr>
          <w:i/>
          <w:iCs/>
        </w:rPr>
        <w:t> rada milzu administratīvo slogu gan elektronisko sakaru komersantiem, gan publiskām personām, kā arī rada riskus nepārtrauktu, kvalitatīvu elektronisko sakaru pakalpojumu nodrošināšanai apstākļos, kad e-pakalpojumu izmantošana ir kļuvusi par neatņemamu dzīves sastāvdaļu. Nosacījumi, kādos gadījumos tiek pārskatīta nomas maksa, ir iekļaujami nomas līgumos”.</w:t>
      </w:r>
    </w:p>
    <w:p w:rsidRPr="006C1102" w:rsidR="006C1102" w:rsidP="006C1102" w:rsidRDefault="006C1102" w14:paraId="16904BF5" w14:textId="77777777">
      <w:r w:rsidRPr="006C1102">
        <w:t> </w:t>
      </w:r>
    </w:p>
    <w:p w:rsidRPr="006C1102" w:rsidR="006C1102" w:rsidP="006C1102" w:rsidRDefault="006C1102" w14:paraId="38BEA655" w14:textId="77777777">
      <w:r w:rsidRPr="006C1102">
        <w:lastRenderedPageBreak/>
        <w:t>Finanšu ministrija nepiekrīt iepriekš minētajam anotācijā ietvertajam skaidrojumam, ka, pārskatot nomas maksas apmēru, ikreiz ir slēdzams jauns nomas līgums vai rīkojama izsole. Vēršam uzmanību, ka atbilstoši Publiskas personas finanšu līdzekļu un mantas izšķērdēšanas novēršanas likuma pārejas noteikumu 11.punktam, ja publiskas personas nekustamā īpašuma nomas līgums ir noslēgts pirms 2018.gada 1.janvāra un nomas maksa pēdējo sešu gadu laikā no līguma noslēgšanas dienas nav pārskatīta, tad šā likuma 6.</w:t>
      </w:r>
      <w:r w:rsidRPr="006C1102">
        <w:rPr>
          <w:vertAlign w:val="superscript"/>
        </w:rPr>
        <w:t>1</w:t>
      </w:r>
      <w:r w:rsidRPr="006C1102">
        <w:t> panta 1.</w:t>
      </w:r>
      <w:r w:rsidRPr="006C1102">
        <w:rPr>
          <w:vertAlign w:val="superscript"/>
        </w:rPr>
        <w:t>1</w:t>
      </w:r>
      <w:r w:rsidRPr="006C1102">
        <w:t> daļu, izvērtējot lietderības apsvērumus, var piemērot nomas maksas pārskatīšanai šādos gadījumos:</w:t>
      </w:r>
    </w:p>
    <w:p w:rsidRPr="006C1102" w:rsidR="006C1102" w:rsidP="006C1102" w:rsidRDefault="006C1102" w14:paraId="04FFEACB" w14:textId="77777777">
      <w:r w:rsidRPr="006C1102">
        <w:t>1) līgumā ir paredzētas iznomātāja tiesības vienpusēji pārskatīt nomas maksas apmēru, ja normatīvie akti paredz citu nomas maksas apmēru vai nomas maksas aprēķināšanas kārtību;</w:t>
      </w:r>
    </w:p>
    <w:p w:rsidRPr="006C1102" w:rsidR="006C1102" w:rsidP="006C1102" w:rsidRDefault="006C1102" w14:paraId="68DF0E0A" w14:textId="77777777">
      <w:r w:rsidRPr="006C1102">
        <w:t>2) līguma puses par to vienojas.</w:t>
      </w:r>
    </w:p>
    <w:p w:rsidRPr="006C1102" w:rsidR="006C1102" w:rsidP="006C1102" w:rsidRDefault="006C1102" w14:paraId="502A7A7C" w14:textId="77777777">
      <w:r w:rsidRPr="006C1102">
        <w:t>Līdz ar to jau šobrīd pastāv iespēja, ka uz spēkā esošajiem nomas līgumiem nomas maksa varētu būt pārskatīta vai pārskatāma. Savukārt attiecībā uz jaunajiem nomas līgumiem Ministru kabineta 2018.gada 20.februāra noteikumos Nr.97 “Publiskas personas mantas iznomāšanas noteikumi” (101.punkts) un Ministru kabineta 2018.gada 16.jūnija noteikumos Nr.350 “Publiskas personas zemes nomas un apbūves tiesības noteikumi” (62.punkts) ir noteikta nomas līgumā ietveramā nomas maksas vienpusējas pārskatīšanas kārtība, kas neparedz obligātu līguma pārslēgšanu. Tāpat vēršam uzmanību, ka atbilstoši iepriekš minētajiem Ministru kabineta noteikumiem nomas līguma termiņu ir iespējams pagarināt, ja nomnieks labticīgi ir pildījis nomas līguma noteikumus un ievērojot sabiedrības intereses (protams, nepārsniedzot Publiskas personas finanšu līdzekļu un mantas izšķērdēšanas novēršanas līgumā noteikto maksimālo iznomāšanas termiņu – 30 gadus).</w:t>
      </w:r>
    </w:p>
    <w:p w:rsidRPr="006C1102" w:rsidR="006C1102" w:rsidP="006C1102" w:rsidRDefault="006C1102" w14:paraId="08A9D39F" w14:textId="77777777">
      <w:r w:rsidRPr="006C1102">
        <w:t> </w:t>
      </w:r>
    </w:p>
    <w:p w:rsidRPr="006C1102" w:rsidR="006C1102" w:rsidP="006C1102" w:rsidRDefault="006C1102" w14:paraId="762835CD" w14:textId="77777777">
      <w:r w:rsidRPr="006C1102">
        <w:t>Ņemot vērā iepriekš minēto, lūdzam precizēt likumprojekta anotācijā ietverto pamatojumu attiecībā uz likumprojekta 28.panta trešo daļu.</w:t>
      </w:r>
    </w:p>
    <w:p w:rsidRPr="006C1102" w:rsidR="006C1102" w:rsidP="006C1102" w:rsidRDefault="006C1102" w14:paraId="7FA4FEC4" w14:textId="77777777">
      <w:r w:rsidRPr="006C1102">
        <w:t>Papildus anotācijā ir norādīts, ka “</w:t>
      </w:r>
      <w:r w:rsidRPr="006C1102">
        <w:rPr>
          <w:i/>
          <w:iCs/>
        </w:rPr>
        <w:t>Nosacījumi, kādos gadījumos tiek pārskatīta nomas maksa, ir iekļaujami nomas līgumos”</w:t>
      </w:r>
      <w:r w:rsidRPr="006C1102">
        <w:t>. Līdz ar to skaidrības nolūkos, ja likumprojekta 28.panta trešās daļas redakcija netiek svītrota, minētā daļa būtu attiecīgi papildināma, ka “</w:t>
      </w:r>
      <w:r w:rsidRPr="006C1102">
        <w:rPr>
          <w:i/>
          <w:iCs/>
        </w:rPr>
        <w:t>Nosacījumi, kādos gadījumos tiek pārskatīta nomas maksa, ir iekļaujami nomas līgumos”.</w:t>
      </w:r>
    </w:p>
    <w:p w:rsidRPr="006C1102" w:rsidR="006C1102" w:rsidP="006C1102" w:rsidRDefault="006C1102" w14:paraId="77CEAACC" w14:textId="77777777">
      <w:r w:rsidRPr="006C1102">
        <w:t> </w:t>
      </w:r>
    </w:p>
    <w:p w:rsidRPr="006C1102" w:rsidR="006C1102" w:rsidP="006C1102" w:rsidRDefault="006C1102" w14:paraId="4E7B4F37" w14:textId="77777777">
      <w:r w:rsidRPr="006C1102">
        <w:t>2. Likumprojekta 65.pants paredz ikgadējo valsts nodevu ne tikai par numerācijas lietošanas tiesībām (kā tas ir bijis līdz šim), bet arī ikgadējo valsts nodevu par numuriem, kas saņemti numura saglabāšanas pakalpojuma nodrošināšanas rezultātā. Nav skaidrs, par ko īsti jaunā valsts nodeva ir maksājama, kā arī nav skaidrs ar tās noteikšanu sasniedzamais mērķis. Saskaņā ar likumā “Par nodokļiem un nodevām” noteikto definīciju valsts nodeva ir obligāts maksājums valsts budžetā par valsts institūcijas veicamo darbību, kas izriet no šīs institūcijas funkcijām. Līdz ar to likumprojekta 65.panta redakcija ir precizējama, skaidri norādot, par kādu darbību vai par kādu sniegto nodrošinājumu konkrētā valsts nodeva ir maksājama. Vienlaikus ir papildināma likumprojekta anotācija, skaidrojot jaunās valsts nodevas nepieciešamību (ar valsts nodevu sasniedzamo mērķi).</w:t>
      </w:r>
    </w:p>
    <w:p w:rsidRPr="006C1102" w:rsidR="006C1102" w:rsidP="006C1102" w:rsidRDefault="006C1102" w14:paraId="6B9ADB9A" w14:textId="77777777">
      <w:r w:rsidRPr="006C1102">
        <w:t> </w:t>
      </w:r>
    </w:p>
    <w:p w:rsidRPr="006C1102" w:rsidR="006C1102" w:rsidP="006C1102" w:rsidRDefault="006C1102" w14:paraId="2EE78EFE" w14:textId="77777777">
      <w:r w:rsidRPr="006C1102">
        <w:lastRenderedPageBreak/>
        <w:t>3. Izziņas sadaļas “II. Jautājumi, par kuriem saskaņošanā vienošanās ir panākta” 2.punkta 4.ailē “Atbildīgās ministrijas norāde par to, ka iebildums ir ņemts vērā, vai informācija par saskaņošanā panākto alternatīvo risinājumu” atbildīgās ministrijas sniegtais skaidrojums ir nekorekts, jo likumprojekta 1.panta 6.daļā ir noteikts, ka termins “</w:t>
      </w:r>
      <w:proofErr w:type="spellStart"/>
      <w:r w:rsidRPr="006C1102">
        <w:t>mikrosabiedrība</w:t>
      </w:r>
      <w:proofErr w:type="spellEnd"/>
      <w:r w:rsidRPr="006C1102">
        <w:t>” tiek lietots Gada pārskatu un konsolidēto gada pārskatu likuma (turpmāk – GPKGPL) izpratnē.</w:t>
      </w:r>
    </w:p>
    <w:p w:rsidRPr="006C1102" w:rsidR="006C1102" w:rsidP="006C1102" w:rsidRDefault="006C1102" w14:paraId="04657D6B" w14:textId="77777777">
      <w:r w:rsidRPr="006C1102">
        <w:t>GPKGPL ir izstrādāts, ieviešot</w:t>
      </w:r>
      <w:r w:rsidRPr="006C1102">
        <w:rPr>
          <w:b/>
          <w:bCs/>
        </w:rPr>
        <w:t> </w:t>
      </w:r>
      <w:r w:rsidRPr="006C1102">
        <w:t>tiesību normas, kas izriet no Eiropas Parlamenta un Padomes 2013.gada 26.jūnija direktīvas </w:t>
      </w:r>
      <w:hyperlink w:tgtFrame="_blank" w:history="1" r:id="rId4">
        <w:r w:rsidRPr="006C1102">
          <w:rPr>
            <w:rStyle w:val="Hyperlink"/>
          </w:rPr>
          <w:t>2013/34/ES</w:t>
        </w:r>
      </w:hyperlink>
      <w:r w:rsidRPr="006C1102">
        <w:t> par noteiktu veidu uzņēmumu gada finanšu pārskatiem, konsolidētajiem finanšu pārskatiem un saistītiem ziņojumiem, ar ko groza Eiropas Parlamenta un Padomes direktīvu </w:t>
      </w:r>
      <w:hyperlink w:tgtFrame="_blank" w:history="1" r:id="rId5">
        <w:r w:rsidRPr="006C1102">
          <w:rPr>
            <w:rStyle w:val="Hyperlink"/>
          </w:rPr>
          <w:t>2006/43/EK</w:t>
        </w:r>
      </w:hyperlink>
      <w:r w:rsidRPr="006C1102">
        <w:t> un atceļ Padomes direktīvas </w:t>
      </w:r>
      <w:hyperlink w:tgtFrame="_blank" w:history="1" r:id="rId6">
        <w:r w:rsidRPr="006C1102">
          <w:rPr>
            <w:rStyle w:val="Hyperlink"/>
          </w:rPr>
          <w:t>78/660/EEK</w:t>
        </w:r>
      </w:hyperlink>
      <w:r w:rsidRPr="006C1102">
        <w:t> un </w:t>
      </w:r>
      <w:hyperlink w:tgtFrame="_blank" w:history="1" r:id="rId7">
        <w:r w:rsidRPr="006C1102">
          <w:rPr>
            <w:rStyle w:val="Hyperlink"/>
          </w:rPr>
          <w:t>83/349/EEK</w:t>
        </w:r>
      </w:hyperlink>
      <w:r w:rsidRPr="006C1102">
        <w:t xml:space="preserve"> (Dokuments attiecas uz EEZ). </w:t>
      </w:r>
      <w:proofErr w:type="spellStart"/>
      <w:r w:rsidRPr="006C1102">
        <w:t>Mikrosabiedrības</w:t>
      </w:r>
      <w:proofErr w:type="spellEnd"/>
      <w:r w:rsidRPr="006C1102">
        <w:t xml:space="preserve"> kritēriji, kas pārņemti no direktīvas 2013/34/ES, noteikti GPKGPL 5.pantā (šajā pantā noteikti arī mazas un vidējas sabiedrības kritēriji):</w:t>
      </w:r>
    </w:p>
    <w:p w:rsidRPr="006C1102" w:rsidR="006C1102" w:rsidP="006C1102" w:rsidRDefault="006C1102" w14:paraId="44892EDD" w14:textId="77777777">
      <w:r w:rsidRPr="006C1102">
        <w:t>Saskaņā ar GPKGPL 5.pantu:</w:t>
      </w:r>
    </w:p>
    <w:p w:rsidRPr="006C1102" w:rsidR="006C1102" w:rsidP="006C1102" w:rsidRDefault="006C1102" w14:paraId="5DD7A894" w14:textId="77777777">
      <w:r w:rsidRPr="006C1102">
        <w:t>(2) </w:t>
      </w:r>
      <w:proofErr w:type="spellStart"/>
      <w:r w:rsidRPr="006C1102">
        <w:rPr>
          <w:b/>
          <w:bCs/>
        </w:rPr>
        <w:t>Mikrosabiedrība</w:t>
      </w:r>
      <w:proofErr w:type="spellEnd"/>
      <w:r w:rsidRPr="006C1102">
        <w:rPr>
          <w:b/>
          <w:bCs/>
        </w:rPr>
        <w:t> </w:t>
      </w:r>
      <w:r w:rsidRPr="006C1102">
        <w:t>ir tāda maza sabiedrība, kura bilances datumā nepārsniedz vismaz divas no trim šajā daļā minēto kritēriju robežvērtībām:</w:t>
      </w:r>
    </w:p>
    <w:p w:rsidRPr="006C1102" w:rsidR="006C1102" w:rsidP="006C1102" w:rsidRDefault="006C1102" w14:paraId="356B1CDE" w14:textId="77777777">
      <w:r w:rsidRPr="006C1102">
        <w:t>1) bilances kopsumma — 350 000 </w:t>
      </w:r>
      <w:proofErr w:type="spellStart"/>
      <w:r w:rsidRPr="006C1102">
        <w:rPr>
          <w:i/>
          <w:iCs/>
        </w:rPr>
        <w:t>euro</w:t>
      </w:r>
      <w:proofErr w:type="spellEnd"/>
      <w:r w:rsidRPr="006C1102">
        <w:t>;</w:t>
      </w:r>
    </w:p>
    <w:p w:rsidRPr="006C1102" w:rsidR="006C1102" w:rsidP="006C1102" w:rsidRDefault="006C1102" w14:paraId="693F4816" w14:textId="77777777">
      <w:r w:rsidRPr="006C1102">
        <w:t>2) neto apgrozījums — 700 000 </w:t>
      </w:r>
      <w:proofErr w:type="spellStart"/>
      <w:r w:rsidRPr="006C1102">
        <w:rPr>
          <w:i/>
          <w:iCs/>
        </w:rPr>
        <w:t>euro</w:t>
      </w:r>
      <w:proofErr w:type="spellEnd"/>
      <w:r w:rsidRPr="006C1102">
        <w:t>;</w:t>
      </w:r>
    </w:p>
    <w:p w:rsidRPr="006C1102" w:rsidR="006C1102" w:rsidP="006C1102" w:rsidRDefault="006C1102" w14:paraId="3BBD7339" w14:textId="77777777">
      <w:r w:rsidRPr="006C1102">
        <w:t>3) vidējais darbinieku skaits pārskata gadā —10</w:t>
      </w:r>
    </w:p>
    <w:p w:rsidRPr="006C1102" w:rsidR="006C1102" w:rsidP="006C1102" w:rsidRDefault="006C1102" w14:paraId="6DFA1584" w14:textId="77777777">
      <w:r w:rsidRPr="006C1102">
        <w:t>(3) </w:t>
      </w:r>
      <w:r w:rsidRPr="006C1102">
        <w:rPr>
          <w:b/>
          <w:bCs/>
        </w:rPr>
        <w:t>Maza sabiedrība</w:t>
      </w:r>
      <w:r w:rsidRPr="006C1102">
        <w:t> ir tāda sabiedrība, kura bilances datumā nepārsniedz vismaz divas no trim šajā daļā minēto kritēriju robežvērtībām:</w:t>
      </w:r>
    </w:p>
    <w:p w:rsidRPr="006C1102" w:rsidR="006C1102" w:rsidP="006C1102" w:rsidRDefault="006C1102" w14:paraId="2E18518E" w14:textId="77777777">
      <w:r w:rsidRPr="006C1102">
        <w:t>1) bilances kopsumma — 4 000 000 </w:t>
      </w:r>
      <w:proofErr w:type="spellStart"/>
      <w:r w:rsidRPr="006C1102">
        <w:rPr>
          <w:i/>
          <w:iCs/>
        </w:rPr>
        <w:t>euro</w:t>
      </w:r>
      <w:proofErr w:type="spellEnd"/>
      <w:r w:rsidRPr="006C1102">
        <w:t>;</w:t>
      </w:r>
    </w:p>
    <w:p w:rsidRPr="006C1102" w:rsidR="006C1102" w:rsidP="006C1102" w:rsidRDefault="006C1102" w14:paraId="75FD7DF0" w14:textId="77777777">
      <w:r w:rsidRPr="006C1102">
        <w:t>2) neto apgrozījums — 8 000 000 </w:t>
      </w:r>
      <w:proofErr w:type="spellStart"/>
      <w:r w:rsidRPr="006C1102">
        <w:rPr>
          <w:i/>
          <w:iCs/>
        </w:rPr>
        <w:t>euro</w:t>
      </w:r>
      <w:proofErr w:type="spellEnd"/>
      <w:r w:rsidRPr="006C1102">
        <w:t>;</w:t>
      </w:r>
    </w:p>
    <w:p w:rsidRPr="006C1102" w:rsidR="006C1102" w:rsidP="006C1102" w:rsidRDefault="006C1102" w14:paraId="18D559B9" w14:textId="77777777">
      <w:r w:rsidRPr="006C1102">
        <w:t>3) vidējais darbinieku skaits pārskata gadā -50</w:t>
      </w:r>
    </w:p>
    <w:p w:rsidRPr="006C1102" w:rsidR="006C1102" w:rsidP="006C1102" w:rsidRDefault="006C1102" w14:paraId="4BDFD9A9" w14:textId="77777777">
      <w:r w:rsidRPr="006C1102">
        <w:t>(4) </w:t>
      </w:r>
      <w:r w:rsidRPr="006C1102">
        <w:rPr>
          <w:b/>
          <w:bCs/>
        </w:rPr>
        <w:t>Vidēja sabiedrība </w:t>
      </w:r>
      <w:r w:rsidRPr="006C1102">
        <w:t>ir tāda sabiedrība, kura nav maza sabiedrība un kura bilances datumā nepārsniedz vismaz divas no trim šajā daļā minēto kritēriju robežvērtībām:</w:t>
      </w:r>
    </w:p>
    <w:p w:rsidRPr="006C1102" w:rsidR="006C1102" w:rsidP="006C1102" w:rsidRDefault="006C1102" w14:paraId="65ADFEDC" w14:textId="77777777">
      <w:r w:rsidRPr="006C1102">
        <w:t>1) bilances kopsumma — 20 000 000 </w:t>
      </w:r>
      <w:proofErr w:type="spellStart"/>
      <w:r w:rsidRPr="006C1102">
        <w:rPr>
          <w:i/>
          <w:iCs/>
        </w:rPr>
        <w:t>euro</w:t>
      </w:r>
      <w:proofErr w:type="spellEnd"/>
      <w:r w:rsidRPr="006C1102">
        <w:t>;</w:t>
      </w:r>
    </w:p>
    <w:p w:rsidRPr="006C1102" w:rsidR="006C1102" w:rsidP="006C1102" w:rsidRDefault="006C1102" w14:paraId="5F172F49" w14:textId="77777777">
      <w:r w:rsidRPr="006C1102">
        <w:t>2) neto apgrozījums — 40 000 000 </w:t>
      </w:r>
      <w:proofErr w:type="spellStart"/>
      <w:r w:rsidRPr="006C1102">
        <w:rPr>
          <w:i/>
          <w:iCs/>
        </w:rPr>
        <w:t>euro</w:t>
      </w:r>
      <w:proofErr w:type="spellEnd"/>
      <w:r w:rsidRPr="006C1102">
        <w:t>;</w:t>
      </w:r>
    </w:p>
    <w:p w:rsidRPr="006C1102" w:rsidR="006C1102" w:rsidP="006C1102" w:rsidRDefault="006C1102" w14:paraId="177DFCE8" w14:textId="77777777">
      <w:r w:rsidRPr="006C1102">
        <w:t>3) vidējais darbinieku skaits pārskata gadā — 250</w:t>
      </w:r>
    </w:p>
    <w:p w:rsidRPr="006C1102" w:rsidR="006C1102" w:rsidP="006C1102" w:rsidRDefault="006C1102" w14:paraId="575C0DA5" w14:textId="77777777">
      <w:r w:rsidRPr="006C1102">
        <w:t>(5) </w:t>
      </w:r>
      <w:r w:rsidRPr="006C1102">
        <w:rPr>
          <w:b/>
          <w:bCs/>
        </w:rPr>
        <w:t>Liela sabiedrība </w:t>
      </w:r>
      <w:r w:rsidRPr="006C1102">
        <w:t>ir tāda sabiedrība, kura bilances datumā pārsniedz vismaz divas no trim šā panta ceturtajā daļā minēto kritēriju robežvērtībām.</w:t>
      </w:r>
    </w:p>
    <w:p w:rsidRPr="006C1102" w:rsidR="006C1102" w:rsidP="006C1102" w:rsidRDefault="006C1102" w14:paraId="01846A15" w14:textId="77777777">
      <w:r w:rsidRPr="006C1102">
        <w:t> </w:t>
      </w:r>
    </w:p>
    <w:p w:rsidRPr="006C1102" w:rsidR="006C1102" w:rsidP="006C1102" w:rsidRDefault="006C1102" w14:paraId="4FE653C3" w14:textId="77777777">
      <w:r w:rsidRPr="006C1102">
        <w:t>Līdz ar to izziņā ir sniegta nepareiza atsauce uz Direktīvu, kā ar uzņēmumu kritēriji neatbilst GPKGPL noteiktajam.</w:t>
      </w:r>
    </w:p>
    <w:p w:rsidRPr="006C1102" w:rsidR="006C1102" w:rsidP="006C1102" w:rsidRDefault="006C1102" w14:paraId="52283928" w14:textId="77777777">
      <w:r w:rsidRPr="006C1102">
        <w:t>Tāpat norādām, ka GPKGPL iekļautā Direktīva nav saistoša biedrībām.</w:t>
      </w:r>
    </w:p>
    <w:p w:rsidRPr="006C1102" w:rsidR="006C1102" w:rsidP="006C1102" w:rsidRDefault="006C1102" w14:paraId="6C258640" w14:textId="77777777">
      <w:r w:rsidRPr="006C1102">
        <w:t xml:space="preserve">Ņemot vērā minēto, lūdzam precizēt uzziņas sadaļas “II. Jautājumi, par kuriem saskaņošanā vienošanās ir panākta” 2.punkta 4.ailē “Atbildīgās ministrijas norāde par to, ka iebildums ir </w:t>
      </w:r>
      <w:r w:rsidRPr="006C1102">
        <w:lastRenderedPageBreak/>
        <w:t>ņemts vērā, vai informācija par saskaņošanā panākto alternatīvo risinājumu” sniegto skaidrojumu.</w:t>
      </w:r>
    </w:p>
    <w:p w:rsidRPr="006C1102" w:rsidR="006C1102" w:rsidP="006C1102" w:rsidRDefault="006C1102" w14:paraId="769C3377" w14:textId="77777777">
      <w:r w:rsidRPr="006C1102">
        <w:t> </w:t>
      </w:r>
    </w:p>
    <w:p w:rsidRPr="006C1102" w:rsidR="006C1102" w:rsidP="006C1102" w:rsidRDefault="006C1102" w14:paraId="616F63ED" w14:textId="77777777">
      <w:r w:rsidRPr="006C1102">
        <w:t>4. Attiecībā uz izziņas 63.punktā (134.-135.lpp.) ietverto Finanšu ministrijas iebildumu par likumprojekta 71.pantu:</w:t>
      </w:r>
    </w:p>
    <w:p w:rsidRPr="006C1102" w:rsidR="006C1102" w:rsidP="006C1102" w:rsidRDefault="006C1102" w14:paraId="09595324" w14:textId="77777777">
      <w:r w:rsidRPr="006C1102">
        <w:t>Precizētā likumprojekta anotācijā (16.-17.lpp.) norādīts:</w:t>
      </w:r>
    </w:p>
    <w:p w:rsidRPr="006C1102" w:rsidR="006C1102" w:rsidP="006C1102" w:rsidRDefault="006C1102" w14:paraId="42D74FF7" w14:textId="77777777">
      <w:r w:rsidRPr="006C1102">
        <w:rPr>
          <w:i/>
          <w:iCs/>
        </w:rPr>
        <w:t>“Likumprojekts paredz kārtību, kādā Regulators izraugās universālā pakalpojuma sniedzēju un nosaka tam saistības, kā arī kārtību, kādā universālā pakalpojuma sniedzējs nodot tīkla aktīvus citam elektronisko skaru komersantam. </w:t>
      </w:r>
      <w:r w:rsidRPr="006C1102">
        <w:rPr>
          <w:i/>
          <w:iCs/>
          <w:u w:val="single"/>
        </w:rPr>
        <w:t>Publisko iepirkumu likuma 11.panta pirmā daļa paredz noteikt paredzamo līgumcenu, lai būtu iespējams izvēlēties paredzamo iepirkuma veidu un attiecīgi arī piemērojamo procedūru.</w:t>
      </w:r>
      <w:r w:rsidRPr="006C1102">
        <w:rPr>
          <w:i/>
          <w:iCs/>
        </w:rPr>
        <w:t> </w:t>
      </w:r>
      <w:r w:rsidRPr="006C1102">
        <w:rPr>
          <w:i/>
          <w:iCs/>
          <w:u w:val="single"/>
        </w:rPr>
        <w:t>Zaudējumi, kas rodas no universālā pakalpojuma saistību izpildes, ir izrietoši no noteikto universālā pakalpojuma saistību apmēra, kā arī to personu loka un personu skaita, kuri izmanto attiecīgos elektronisko sakaru pakalpojumus, tādēļ tās nav prognozējamas. Regulators rīko konkursu un nosaka saistības ar administratīvo aktu – Regulatora lēmumu, bet neslēdz ar konkursa uzvarētāju iepirkuma līgumu par kādu noteiktu summu.</w:t>
      </w:r>
      <w:r w:rsidRPr="006C1102">
        <w:rPr>
          <w:i/>
          <w:iCs/>
        </w:rPr>
        <w:t> Direktīvas 89.pants un attiecīgi Likumprojekta 71.pants nosaka, ka universālā pakalpojuma sniedzējs var saņemt kompensāciju tikai par Regulatora apstiprināto tīro izmaksu apmēru. Tīrās izmaksas aprēķina saskaņā ar Regulatora noteiktu metodiku, samazinot faktiskās pakalpojuma sniegšanas izmaksas par summu, kas radusies kā papildu ieguvums no universālā pakalpojuma sniegšanas. Tīro izmaksu aprēķinu pārbauda zvērināts revidents vai zvērinātu revidentu komercsabiedrība. Elektronisko sakaru komersants publisko tīro izmaksu aprēķinu un zvērināta revidenta vai zvērinātu revidentu komercsabiedrības ziņojumu. Regulators pārbauda iesniegtās tīrās izmaksas un apstiprina to apmēru. Regulators tīrās izmaksas apstiprina, ja izpildās šādi nosacījumi:</w:t>
      </w:r>
    </w:p>
    <w:p w:rsidRPr="006C1102" w:rsidR="006C1102" w:rsidP="006C1102" w:rsidRDefault="006C1102" w14:paraId="59237FEF" w14:textId="77777777">
      <w:r w:rsidRPr="006C1102">
        <w:rPr>
          <w:i/>
          <w:iCs/>
        </w:rPr>
        <w:t>1) elektronisko sakaru komersants ir ievērojis universālā pakalpojuma saistības un to izpildes nosacījumus;</w:t>
      </w:r>
    </w:p>
    <w:p w:rsidRPr="006C1102" w:rsidR="006C1102" w:rsidP="006C1102" w:rsidRDefault="006C1102" w14:paraId="41EFDF6C" w14:textId="77777777">
      <w:r w:rsidRPr="006C1102">
        <w:rPr>
          <w:i/>
          <w:iCs/>
        </w:rPr>
        <w:t>2) tās ir aprēķinātas atbilstoši šā panta pirmajā daļā noteiktajai metodikai;</w:t>
      </w:r>
    </w:p>
    <w:p w:rsidRPr="006C1102" w:rsidR="006C1102" w:rsidP="006C1102" w:rsidRDefault="006C1102" w14:paraId="2A5B05C8" w14:textId="77777777">
      <w:r w:rsidRPr="006C1102">
        <w:rPr>
          <w:i/>
          <w:iCs/>
        </w:rPr>
        <w:t>3) elektronisko sakaru komersants pierāda, ka ir pakļauts netaisnīgam apgrūtinājumam un saistību izpilde rada zaudējumus.</w:t>
      </w:r>
    </w:p>
    <w:p w:rsidRPr="006C1102" w:rsidR="006C1102" w:rsidP="006C1102" w:rsidRDefault="006C1102" w14:paraId="00F99171" w14:textId="77777777">
      <w:r w:rsidRPr="006C1102">
        <w:rPr>
          <w:i/>
          <w:iCs/>
          <w:u w:val="single"/>
        </w:rPr>
        <w:t>Likumprojektā un Direktīvā noteiktā universālā pakalpojuma sniedzēja izvēles un tīro izmaksu kompensēšanas kārtība neatbilst Publiskā iepirkuma likumā noteiktajai iepirkumu veikšanas kārtībai, tādēļ universālā pakalpojuma saistībām nav iespējams piemērot Publisko iepirkumu likumu</w:t>
      </w:r>
      <w:r w:rsidRPr="006C1102">
        <w:rPr>
          <w:i/>
          <w:iCs/>
        </w:rPr>
        <w:t>.”</w:t>
      </w:r>
    </w:p>
    <w:p w:rsidRPr="006C1102" w:rsidR="006C1102" w:rsidP="006C1102" w:rsidRDefault="006C1102" w14:paraId="014D4FFB" w14:textId="77777777">
      <w:r w:rsidRPr="006C1102">
        <w:t> </w:t>
      </w:r>
    </w:p>
    <w:p w:rsidRPr="006C1102" w:rsidR="006C1102" w:rsidP="006C1102" w:rsidRDefault="006C1102" w14:paraId="0E01FEF2" w14:textId="77777777">
      <w:r w:rsidRPr="006C1102">
        <w:t>Atkārtoti paskaidrojam, ka fakts, ka nodrošināmais universālā pakalpojuma apjoms ir mainīgs, un līdz ar to mainīgas var būt arī pakalpojuma sniegšanas izmaksas, kas ietekmē līgumcenas noteikšanu, pats par sevi nedod tiesības universālā pakalpojuma sniedzēja izvēlei nepiemērot Publisko iepirkumu likumu (turpmāk – PIL) un attiecīgi arī nepamato likumprojektā paredzētā izņēmuma no PIL noteikšanas nepieciešamību. Tāpat arī likumprojektā paredzētā tīro izmaksu kompensēšanas kārtība pati par sevi neietekmē iespēju universālā pakalpojuma sniedzēju izvēlēties PIL noteiktajā kārtībā. </w:t>
      </w:r>
      <w:r w:rsidRPr="006C1102">
        <w:rPr>
          <w:b/>
          <w:bCs/>
        </w:rPr>
        <w:t xml:space="preserve">Līdz ar to lūdzam </w:t>
      </w:r>
      <w:r w:rsidRPr="006C1102">
        <w:rPr>
          <w:b/>
          <w:bCs/>
        </w:rPr>
        <w:lastRenderedPageBreak/>
        <w:t>no anotācijas 16.-17.lpp. svītrot augstāk minētajā tekstā </w:t>
      </w:r>
      <w:r w:rsidRPr="006C1102">
        <w:rPr>
          <w:b/>
          <w:bCs/>
          <w:u w:val="single"/>
        </w:rPr>
        <w:t>pasvītrotos</w:t>
      </w:r>
      <w:r w:rsidRPr="006C1102">
        <w:rPr>
          <w:b/>
          <w:bCs/>
        </w:rPr>
        <w:t> teikumus, kas skar neatbilstošu PIL interpretāciju, ko Finanšu ministrija nevar atbalstīt.</w:t>
      </w:r>
    </w:p>
    <w:p w:rsidRPr="006C1102" w:rsidR="006C1102" w:rsidP="006C1102" w:rsidRDefault="006C1102" w14:paraId="7D9E2FB6" w14:textId="77777777">
      <w:r w:rsidRPr="006C1102">
        <w:t> </w:t>
      </w:r>
    </w:p>
    <w:p w:rsidRPr="006C1102" w:rsidR="006C1102" w:rsidP="006C1102" w:rsidRDefault="006C1102" w14:paraId="3899479A" w14:textId="77777777">
      <w:r w:rsidRPr="006C1102">
        <w:t>Vienlaikus attiecībā uz likumprojekta 71.panta otrajā daļā paredzētā izņēmuma no PIL pamatojumu, Finanšu ministrijas ieskatā, </w:t>
      </w:r>
      <w:r w:rsidRPr="006C1102">
        <w:rPr>
          <w:b/>
          <w:bCs/>
        </w:rPr>
        <w:t>būtu izvērtējams</w:t>
      </w:r>
      <w:r w:rsidRPr="006C1102">
        <w:t>, vai šādu pamatojumu, piemēram, varētu balstīt secinājumā, ka ar </w:t>
      </w:r>
      <w:r w:rsidRPr="006C1102">
        <w:rPr>
          <w:i/>
          <w:iCs/>
        </w:rPr>
        <w:t>Eiropas Parlamenta un Padomes 2018.gada 11.decembra direktīvas Nr.2018/1972/ES par Eiropas Elektronisko sakaru kodeksa izveidi</w:t>
      </w:r>
      <w:r w:rsidRPr="006C1102">
        <w:t> (turpmāk – Elektronisko sakaru kodeksa izveides direktīva) 86.panta 4.punktā minēto efektīvo, objektīvo, pārredzamo un nediskriminējošo universālā pakalpojuma sniedzēja izraudzīšanās mehānismu netiek saprasta Eiropas Savienības publisko iepirkumu regulējuma piemērošana (</w:t>
      </w:r>
      <w:r w:rsidRPr="006C1102">
        <w:rPr>
          <w:i/>
          <w:iCs/>
        </w:rPr>
        <w:t>Eiropas Parlamenta un Padomes 2014.gada 26.februāra direktīva 2014/24/ES par publisko iepirkumu un ar ko atceļ Direktīvu 2004/18/EK, </w:t>
      </w:r>
      <w:r w:rsidRPr="006C1102">
        <w:t>kas Latvijas tiesību aktos pārņemta ar PIL).</w:t>
      </w:r>
    </w:p>
    <w:p w:rsidRPr="006C1102" w:rsidR="006C1102" w:rsidP="006C1102" w:rsidRDefault="006C1102" w14:paraId="6B5C9F28" w14:textId="77777777">
      <w:r w:rsidRPr="006C1102">
        <w:t> </w:t>
      </w:r>
    </w:p>
    <w:p w:rsidRPr="006C1102" w:rsidR="006C1102" w:rsidP="006C1102" w:rsidRDefault="006C1102" w14:paraId="5B52B4EB" w14:textId="77777777">
      <w:r w:rsidRPr="006C1102">
        <w:t>Ņemot vērā, ka, lai nodrošinātu korektu Eiropas Savienības tiesību piemērošanu Latvijā </w:t>
      </w:r>
      <w:r w:rsidRPr="006C1102">
        <w:rPr>
          <w:b/>
          <w:bCs/>
        </w:rPr>
        <w:t>un attiecīgi izvairītos no potenciālu pārkāpumu riskiem</w:t>
      </w:r>
      <w:r w:rsidRPr="006C1102">
        <w:t>, vairākkārt esam norādījuši uz to, ka anotācijā ir nepieciešams nodrošināt skaidrojumu, kas pamato Eiropas Savienības publisko iepirkumu regulējuma (</w:t>
      </w:r>
      <w:r w:rsidRPr="006C1102">
        <w:rPr>
          <w:i/>
          <w:iCs/>
        </w:rPr>
        <w:t>Eiropas Parlamenta un Padomes 2014.gada 26.februāra direktīvas 2014/24/ES par publisko iepirkumu un ar ko atceļ Direktīvu 2004/18/EK</w:t>
      </w:r>
      <w:r w:rsidRPr="006C1102">
        <w:t>, kas Latvijas tiesību aktos pārņemta ar PIL) nepiemērošanu attiecībā uz Elektronisko sakaru kodeksa izveides direktīvā paredzēto universālā pakalpojuma sniedzēja izraudzīšanās procedūras norisi, kā arī vairākkārt esam aicinājuši Satiksmes ministriju nepieciešamības gadījumā lūgt Eiropas Komisijas viedokli par minēto jautājumu, </w:t>
      </w:r>
      <w:r w:rsidRPr="006C1102">
        <w:rPr>
          <w:b/>
          <w:bCs/>
        </w:rPr>
        <w:t>vēršam uzmanību, ka par likumprojektā pārņemtās Elektronisko sakaru kodeksa izveides direktīvas regulējuma juridiski korektu interpretāciju, tostarp atbilstoši Eiropas Savienības tiesībām, ir atbildīga Satiksmes ministrija</w:t>
      </w:r>
      <w:r w:rsidRPr="006C1102">
        <w:t>.</w:t>
      </w:r>
    </w:p>
    <w:p w:rsidRPr="006C1102" w:rsidR="006C1102" w:rsidP="006C1102" w:rsidRDefault="006C1102" w14:paraId="0EF39116" w14:textId="77777777">
      <w:r w:rsidRPr="006C1102">
        <w:t> </w:t>
      </w:r>
    </w:p>
    <w:p w:rsidRPr="006C1102" w:rsidR="006C1102" w:rsidP="006C1102" w:rsidRDefault="006C1102" w14:paraId="3111BA2E" w14:textId="77777777">
      <w:r w:rsidRPr="006C1102">
        <w:t>5. Izziņas 156.lapā ailē “Atbildīgās ministrijas norāde par to, ka iebildums ir ņemts vērā, vai informācija par saskaņošanā panākto alternatīvo risinājumu” norādīts, ka ir </w:t>
      </w:r>
      <w:r w:rsidRPr="006C1102">
        <w:rPr>
          <w:b/>
          <w:bCs/>
        </w:rPr>
        <w:t>ņemts vērā</w:t>
      </w:r>
      <w:r w:rsidRPr="006C1102">
        <w:t> FM izteiktais iebildums:</w:t>
      </w:r>
    </w:p>
    <w:p w:rsidRPr="006C1102" w:rsidR="006C1102" w:rsidP="006C1102" w:rsidRDefault="006C1102" w14:paraId="1020519A" w14:textId="77777777">
      <w:r w:rsidRPr="006C1102">
        <w:rPr>
          <w:b/>
          <w:bCs/>
        </w:rPr>
        <w:t>“FM </w:t>
      </w:r>
      <w:r w:rsidRPr="006C1102">
        <w:t>lūdzam izteikt Likumprojekta 103.pantu šādā redakcijā:</w:t>
      </w:r>
    </w:p>
    <w:p w:rsidRPr="006C1102" w:rsidR="006C1102" w:rsidP="006C1102" w:rsidRDefault="006C1102" w14:paraId="42E74116" w14:textId="77777777">
      <w:r w:rsidRPr="006C1102">
        <w:t>“Lai nodrošinātu normatīvajos aktos noteiktos uzdevumus nodokļu un nodevu iekasēšanas un kontroles jomā, Valsts ieņēmumu dienestam ir tiesības:</w:t>
      </w:r>
    </w:p>
    <w:p w:rsidRPr="006C1102" w:rsidR="006C1102" w:rsidP="006C1102" w:rsidRDefault="006C1102" w14:paraId="3CB8AF0D" w14:textId="77777777">
      <w:r w:rsidRPr="006C1102">
        <w:t>1) pieņemt lēmumu par domēna vārda atslēgšanu;</w:t>
      </w:r>
    </w:p>
    <w:p w:rsidRPr="006C1102" w:rsidR="006C1102" w:rsidP="006C1102" w:rsidRDefault="006C1102" w14:paraId="14205932" w14:textId="77777777">
      <w:r w:rsidRPr="006C1102">
        <w:t>2) pieņemt lēmumu par lieguma uzlikšanu domēna vārda lietošanas tiesību nodošanai;</w:t>
      </w:r>
    </w:p>
    <w:p w:rsidRPr="006C1102" w:rsidR="006C1102" w:rsidP="006C1102" w:rsidRDefault="006C1102" w14:paraId="380A93FA" w14:textId="77777777">
      <w:r w:rsidRPr="006C1102">
        <w:t>3) pieņemt lēmumu par to, ka Latvijas Republikā ierobežojama piekļuve domēna vārdam vai interneta protokola (IP) adresei</w:t>
      </w:r>
      <w:r w:rsidRPr="006C1102">
        <w:rPr>
          <w:b/>
          <w:bCs/>
        </w:rPr>
        <w:t>;</w:t>
      </w:r>
    </w:p>
    <w:p w:rsidRPr="006C1102" w:rsidR="006C1102" w:rsidP="006C1102" w:rsidRDefault="006C1102" w14:paraId="08DBBC3C" w14:textId="77777777">
      <w:r w:rsidRPr="006C1102">
        <w:t>4) pieprasīt un elektronisko sakaru komersantiem ir pienākums 15 dienu laikā sniegt par galalietotāju, kurš ir izmantojis Latvijā nelicencēta interaktīvo azartspēļu vai interaktīvo izložu organizētāja mājaslapu internetā, šādus noslodzes datus, ja attiecīga informācija ir pieejama elektronisko sakaru komersantam:</w:t>
      </w:r>
    </w:p>
    <w:p w:rsidRPr="006C1102" w:rsidR="006C1102" w:rsidP="006C1102" w:rsidRDefault="006C1102" w14:paraId="70D0F82D" w14:textId="77777777">
      <w:r w:rsidRPr="006C1102">
        <w:lastRenderedPageBreak/>
        <w:t>a) nosaukumu (firmu) un reģistrācijas numuru, ja galalietotājs ir juridiskā persona;</w:t>
      </w:r>
    </w:p>
    <w:p w:rsidRPr="006C1102" w:rsidR="006C1102" w:rsidP="006C1102" w:rsidRDefault="006C1102" w14:paraId="1BCDC0E6" w14:textId="77777777">
      <w:r w:rsidRPr="006C1102">
        <w:t>b) vārdu, uzvārdu un personas kodu, ja galalietotājs ir fiziskā persona;</w:t>
      </w:r>
    </w:p>
    <w:p w:rsidRPr="006C1102" w:rsidR="006C1102" w:rsidP="006C1102" w:rsidRDefault="006C1102" w14:paraId="3F6DF66B" w14:textId="77777777">
      <w:r w:rsidRPr="006C1102">
        <w:t>c) galalietotājam saskaņā ar elektronisko sakaru pakalpojumu līgumu piešķirtos telefonu numurus, interneta protokola (IP) adreses un kontaktinformāciju.</w:t>
      </w:r>
    </w:p>
    <w:p w:rsidRPr="006C1102" w:rsidR="006C1102" w:rsidP="006C1102" w:rsidRDefault="006C1102" w14:paraId="78934FEB" w14:textId="77777777">
      <w:r w:rsidRPr="006C1102">
        <w:t>d)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6C1102" w:rsidR="006C1102" w:rsidP="006C1102" w:rsidRDefault="006C1102" w14:paraId="466DDD89" w14:textId="77777777">
      <w:r w:rsidRPr="006C1102">
        <w:t> </w:t>
      </w:r>
    </w:p>
    <w:p w:rsidRPr="006C1102" w:rsidR="006C1102" w:rsidP="006C1102" w:rsidRDefault="006C1102" w14:paraId="7FD8B1A6" w14:textId="77777777">
      <w:r w:rsidRPr="006C1102">
        <w:t>Savukārt izskatot likumprojektu “Elektronisko sakaru likums” 110.panta (Valsts ieņēmumu dienesta tiesības) gala redakciju, konstatēts, ka tajā nav iekļauti sekojoši punkti:</w:t>
      </w:r>
    </w:p>
    <w:p w:rsidRPr="006C1102" w:rsidR="006C1102" w:rsidP="006C1102" w:rsidRDefault="006C1102" w14:paraId="37242830" w14:textId="77777777">
      <w:r w:rsidRPr="006C1102">
        <w:t>“1) pieņemt lēmumu par domēna vārda atslēgšanu;</w:t>
      </w:r>
    </w:p>
    <w:p w:rsidRPr="006C1102" w:rsidR="006C1102" w:rsidP="006C1102" w:rsidRDefault="006C1102" w14:paraId="01268F16" w14:textId="77777777">
      <w:r w:rsidRPr="006C1102">
        <w:t>2) pieņemt lēmumu par lieguma uzlikšanu domēna vārda lietošanas tiesību nodošanai;</w:t>
      </w:r>
    </w:p>
    <w:p w:rsidRPr="006C1102" w:rsidR="006C1102" w:rsidP="006C1102" w:rsidRDefault="006C1102" w14:paraId="3F4BE3B5" w14:textId="77777777">
      <w:r w:rsidRPr="006C1102">
        <w:t>3) pieņemt lēmumu par to, ka Latvijas Republikā ierobežojama piekļuve domēna vārdam vai interneta protokola (IP) adresei</w:t>
      </w:r>
      <w:r w:rsidRPr="006C1102">
        <w:rPr>
          <w:b/>
          <w:bCs/>
        </w:rPr>
        <w:t>;”</w:t>
      </w:r>
    </w:p>
    <w:p w:rsidRPr="006C1102" w:rsidR="006C1102" w:rsidP="006C1102" w:rsidRDefault="006C1102" w14:paraId="5D6B70BE" w14:textId="77777777">
      <w:r w:rsidRPr="006C1102">
        <w:t> </w:t>
      </w:r>
    </w:p>
    <w:p w:rsidRPr="006C1102" w:rsidR="006C1102" w:rsidP="006C1102" w:rsidRDefault="006C1102" w14:paraId="7DD11418" w14:textId="77777777">
      <w:r w:rsidRPr="006C1102">
        <w:t>Tādējādi, konstatēts, ka FM sniegtais priekšlikums nav ņemts vērā pilnā apjomā.</w:t>
      </w:r>
    </w:p>
    <w:p w:rsidRPr="006C1102" w:rsidR="006C1102" w:rsidP="006C1102" w:rsidRDefault="006C1102" w14:paraId="58FCCC36" w14:textId="77777777">
      <w:r w:rsidRPr="006C1102">
        <w:t> </w:t>
      </w:r>
    </w:p>
    <w:p w:rsidRPr="006C1102" w:rsidR="006C1102" w:rsidP="006C1102" w:rsidRDefault="006C1102" w14:paraId="7533183E" w14:textId="77777777">
      <w:r w:rsidRPr="006C1102">
        <w:t>Vēršam uzmanību, ka likumprojektā neiekļaujot minētos punktus Valsts ieņēmumu dienestam nebūs iespējams pildīt deleģētās funkcijas digitālās vides uzraudzībai (e-komercijā), nepakļaušanās gadījumā ierobežojot ārvalstu domēnus.</w:t>
      </w:r>
    </w:p>
    <w:p w:rsidRPr="006C1102" w:rsidR="006C1102" w:rsidP="006C1102" w:rsidRDefault="006C1102" w14:paraId="4436008E" w14:textId="77777777">
      <w:r w:rsidRPr="006C1102">
        <w:t> </w:t>
      </w:r>
    </w:p>
    <w:p w:rsidRPr="006C1102" w:rsidR="006C1102" w:rsidP="006C1102" w:rsidRDefault="006C1102" w14:paraId="66C00F24" w14:textId="77777777">
      <w:r w:rsidRPr="006C1102">
        <w:t>6. Likumprojekta 109.panta sestā daļa paredz noteikt, ka Izložu un azartspēļu uzraudzības inspekcijas (turpmāk – IAUI) lēmuma par piekļuves ierobežojumu Latvijas Republikā nelicencēta interaktīvo azartspēļu vai interaktīvo izložu organizētāja domēna vārdam vai interneta protokola (IP) adresei izpildi neaptur minētā lēmuma apstrīdēšana vai pārsūdzēšana. Vienlaikus ņemot vērā, ka iepriekš minētā lēmuma izpildi nodrošina augstākā līmeņa domēna ".lv" reģistra turētājs un elektronisko sakaru komersants, kura pienākumu nodrošināt piekļuves ierobežojumu nevar ietekmēt IAUI lēmumu apstrīdēšana vai pārsūdzēšana, lūdzam papildināt likumprojekta 109.panta sesto daļu aiz vārdiem “Šā panta pirmajā daļā” ar vārdiem “un ceturtajā daļā”.</w:t>
      </w:r>
    </w:p>
    <w:p w:rsidRPr="006C1102" w:rsidR="006C1102" w:rsidP="006C1102" w:rsidRDefault="006C1102" w14:paraId="7111C3D3" w14:textId="77777777">
      <w:r w:rsidRPr="006C1102">
        <w:t>Papildus informējam, ka šobrīd spēkā esošajā Elektronisko sakaru likuma 13.</w:t>
      </w:r>
      <w:r w:rsidRPr="006C1102">
        <w:rPr>
          <w:vertAlign w:val="superscript"/>
        </w:rPr>
        <w:t>1</w:t>
      </w:r>
      <w:r w:rsidRPr="006C1102">
        <w:t> panta ceturtajā daļā ir iekļauta atsauce gan uz minēto IAUI lēmumu (skat. Likuma 13.</w:t>
      </w:r>
      <w:r w:rsidRPr="006C1102">
        <w:rPr>
          <w:vertAlign w:val="superscript"/>
        </w:rPr>
        <w:t>1</w:t>
      </w:r>
      <w:r w:rsidRPr="006C1102">
        <w:t> panta pirmo daļu), gan elektronisko sakaru komersanta pienākumu veikt IAUI lēmuma izpildi (skat. 19.panta pirmās daļas 22.punktu).</w:t>
      </w:r>
    </w:p>
    <w:p w:rsidRPr="006C1102" w:rsidR="006C1102" w:rsidP="006C1102" w:rsidRDefault="006C1102" w14:paraId="51925722" w14:textId="77777777">
      <w:r w:rsidRPr="006C1102">
        <w:t> </w:t>
      </w:r>
    </w:p>
    <w:p w:rsidRPr="006C1102" w:rsidR="006C1102" w:rsidP="006C1102" w:rsidRDefault="006C1102" w14:paraId="76259953" w14:textId="77777777">
      <w:r w:rsidRPr="006C1102">
        <w:t xml:space="preserve">7. IAUI lēmums par piekļuves ierobežojumu Latvijas Republikā nelicencēta interaktīvo azartspēļu vai interaktīvo izložu organizētāja domēna vārdam vai interneta protokola (IP) adresei ir attiecināms tikai uz Latvijas Republikas teritoriju, tādēļ, lai noteiktu skaidru </w:t>
      </w:r>
      <w:r w:rsidRPr="006C1102">
        <w:lastRenderedPageBreak/>
        <w:t>deleģējumu Ministru kabinetam konkrētas kārtības noteikšanā, lūdzam papildināt likumprojekta 109.panta astoto daļu aiz vārdiem “lēmumu par to, ka” ar vārdiem “Latvijas Republikā”. Tāpat lūdzam precizēt likumprojekta 109.panta desmitajā daļā lietoto terminoloģiju, proti, aizstājot vārdu “Latvijā” ar vārdiem “Latvijas Republikā”.</w:t>
      </w:r>
    </w:p>
    <w:p w:rsidRPr="006C1102" w:rsidR="006C1102" w:rsidP="006C1102" w:rsidRDefault="006C1102" w14:paraId="1B780D86" w14:textId="77777777">
      <w:r w:rsidRPr="006C1102">
        <w:t> </w:t>
      </w:r>
    </w:p>
    <w:p w:rsidRPr="006C1102" w:rsidR="006C1102" w:rsidP="006C1102" w:rsidRDefault="006C1102" w14:paraId="67AB97A2" w14:textId="77777777">
      <w:r w:rsidRPr="006C1102">
        <w:t>8. Anotācijas III sadaļas 6.punktā norādīts, ka valsts pamatbudžeta izdevumu apmērs universālā pakalpojuma tīro izmaksu finansēšanai šobrīd nav precīzi aprēķināms, jo atkarīgs no sniegtā pakalpojuma apjoma un izmaksām, kas ir atšķirīgas dažādiem tehnoloģiskajiem risinājumiem, bet vienlaikus norādīts, ka, saglabājot neitrālu ietekmi uz budžetu, universālā pakalpojuma tīro izmaksu kompensēšanai 2023.gadā iespējams atvēlēt 167 348 </w:t>
      </w:r>
      <w:proofErr w:type="spellStart"/>
      <w:r w:rsidRPr="006C1102">
        <w:rPr>
          <w:i/>
          <w:iCs/>
        </w:rPr>
        <w:t>euro</w:t>
      </w:r>
      <w:proofErr w:type="spellEnd"/>
      <w:r w:rsidRPr="006C1102">
        <w:t>, 2024.gadā 186 948 </w:t>
      </w:r>
      <w:proofErr w:type="spellStart"/>
      <w:r w:rsidRPr="006C1102">
        <w:rPr>
          <w:i/>
          <w:iCs/>
        </w:rPr>
        <w:t>euro</w:t>
      </w:r>
      <w:proofErr w:type="spellEnd"/>
      <w:r w:rsidRPr="006C1102">
        <w:t> un 2025.gadā līdzīgu summu kā 2024.gadā. Vienlaikus anotācijas III sadaļas 2.punktā un 2.1.apakšpunktā norādīti izdevumu kopējie apmēri, tai skaitā izdevumi kartēšanas informācijas sistēmai, lai gan nav skaidrots, ar kuru likumprojekta panta izpildi tas saistīts. Vēršam uzmanību, ka anotācijas III sadaļā izdevumu apmērs jānorāda tāds, kas attiecināms uz likumprojekta izpildi, proti, plānā jānorāda tādi ieņēmumi un izdevumi, kas jau ir plānoti budžetā attiecībā uz likuma izpildi, un izmaiņu ailēs jānorāda ieņēmumu un izdevumu izmaiņu prognozes, kas saistītas ar likumprojekta ieviešanu. Vienlaikus Satiksmes ministrijai jāizvērtē, vai papildu ieņēmumu prognoze, kas paliek pāri no tās prognozes, kas tika paredzēta Ministru kabineta 2020.gada 17.decembra noteikumu Nr.828 “Noteikumi par numerācijas lietošanas tiesību ikgadējo valsts nodevu” anotācijā, ir tādā apmērā, lai pietiktu likumprojekta 72. un 73.panta noteiktā izpildei. Ņemot vērā iepriekš minēto, lūdzam precizēt anotācijas III sadaļas 1.-5.punktos un tā apakšpunktos sniegto informāciju, kā arī 6.punktā sniegt pieņēmumus par aprēķiniem 72. un 73.pantā noteiktā izpildei. Vienlaikus, ja prognozētais nodevas ieņēmumu palielinājums nosedz visas plānotās izmaksas, tad jautājums par papildu finansējumu Satiksmes ministrijai būtu jāsagatavo kā fiskāli neitrāls priekšlikums izskatīšanai likumprojekta “Par valsts budžetu 2022.gadam” un likumprojekta “Par vidēja termiņa budžeta ietvaru 2022., 2023. un 2024.gadam” sagatavošanas procesā, ievērojot Ministru kabineta budžeta sagatavošanas procesa noteiktos termiņus. Attiecīgi lūdzam precizēt anotācijas III sadaļas 6.punktā sniegto informāciju, ņemot vērā, ka finansējums jaunajiem pasākumiem nav paredzams kā bāzes finansējums, bet skatāms Ministru kabinetā budžeta likumprojektu sagatavošanas procesā kā Satiksmes ministrijas piedāvātais fiskāli neitrālais priekšlikums, un svītrot 8.punktā sniegto informāciju, ka nepieciešamības gadījumā jautājums par papildu valsts budžeta līdzekļu piešķiršanu 2023.gadā un turpmākajos gados ir skatāms budžeta likumprojektu sagatavošanas procesā kopā ar visu ministriju un citu centrālo valsts iestāžu prioritāro pasākumu pieteikumiem, ievērojot valsts budžeta finansiālās iespējas, jo nav atbalstāma tādu likumprojektu tālāka virzība, kuri var netikt izpildīti nepietiekama finansējuma dēļ.</w:t>
      </w:r>
    </w:p>
    <w:p w:rsidRPr="006C1102" w:rsidR="006C1102" w:rsidP="006C1102" w:rsidRDefault="006C1102" w14:paraId="3CE50668" w14:textId="77777777">
      <w:r w:rsidRPr="006C1102">
        <w:t> </w:t>
      </w:r>
    </w:p>
    <w:p w:rsidRPr="006C1102" w:rsidR="006C1102" w:rsidP="006C1102" w:rsidRDefault="006C1102" w14:paraId="3933947B" w14:textId="77777777">
      <w:r w:rsidRPr="006C1102">
        <w:rPr>
          <w:b/>
          <w:bCs/>
        </w:rPr>
        <w:t>Priekšlikumi.</w:t>
      </w:r>
    </w:p>
    <w:p w:rsidRPr="006C1102" w:rsidR="006C1102" w:rsidP="006C1102" w:rsidRDefault="006C1102" w14:paraId="0AD3FE37" w14:textId="77777777">
      <w:r w:rsidRPr="006C1102">
        <w:t>1. Lūdzam aizstāt likumprojekta 109.panta septītajā daļā lietoto vārdu “šīs” ar vārdu “šā”.</w:t>
      </w:r>
    </w:p>
    <w:p w:rsidRPr="006C1102" w:rsidR="006C1102" w:rsidP="006C1102" w:rsidRDefault="006C1102" w14:paraId="01CC3B0F" w14:textId="77777777">
      <w:r w:rsidRPr="006C1102">
        <w:t> </w:t>
      </w:r>
    </w:p>
    <w:p w:rsidRPr="006C1102" w:rsidR="006C1102" w:rsidP="006C1102" w:rsidRDefault="006C1102" w14:paraId="13024EF9" w14:textId="77777777">
      <w:r w:rsidRPr="006C1102">
        <w:t>2. Anotācijas IV sadaļas 1.punkā ir precizējama sniegtā informācija, svītrojot Ministru kabineta 2018.gada 6.februāra instrukciju Nr.1 “Valsts elektronisko sakaru pakalpojumu centra nodrošināšanas kārtība”, jo tā ir norādīta divas reizes (17. un 18. kārtas numurs).</w:t>
      </w:r>
    </w:p>
    <w:p w:rsidRPr="006C1102" w:rsidR="006C1102" w:rsidP="006C1102" w:rsidRDefault="006C1102" w14:paraId="5A9C537D" w14:textId="77777777">
      <w:r w:rsidRPr="006C1102">
        <w:lastRenderedPageBreak/>
        <w:t> </w:t>
      </w:r>
    </w:p>
    <w:p w:rsidRPr="006C1102" w:rsidR="006C1102" w:rsidP="006C1102" w:rsidRDefault="006C1102" w14:paraId="3A3BD99F" w14:textId="77777777">
      <w:r w:rsidRPr="006C1102">
        <w:t> </w:t>
      </w:r>
    </w:p>
    <w:p w:rsidRPr="006C1102" w:rsidR="006C1102" w:rsidP="006C1102" w:rsidRDefault="006C1102" w14:paraId="2518823A" w14:textId="77777777">
      <w:r w:rsidRPr="006C1102">
        <w:rPr>
          <w:b/>
          <w:bCs/>
        </w:rPr>
        <w:t>Ar cieņu</w:t>
      </w:r>
      <w:r w:rsidRPr="006C1102">
        <w:rPr>
          <w:b/>
          <w:bCs/>
        </w:rPr>
        <w:br/>
        <w:t>Ilga Jermacāne</w:t>
      </w:r>
      <w:r w:rsidRPr="006C1102">
        <w:br/>
        <w:t>Juridiskā departamenta</w:t>
      </w:r>
      <w:r w:rsidRPr="006C1102">
        <w:br/>
        <w:t>Tiesību aktu nodaļas juriskonsulte</w:t>
      </w:r>
      <w:r w:rsidRPr="006C1102">
        <w:br/>
        <w:t>Tālr.: (+371) 67083802</w:t>
      </w:r>
      <w:r w:rsidRPr="006C1102">
        <w:br/>
        <w:t>E-pasts: </w:t>
      </w:r>
      <w:hyperlink w:tgtFrame="_blank" w:history="1" r:id="rId8">
        <w:r w:rsidRPr="006C1102">
          <w:rPr>
            <w:rStyle w:val="Hyperlink"/>
          </w:rPr>
          <w:t>ilga.jermacane@fm.gov.lv</w:t>
        </w:r>
      </w:hyperlink>
      <w:r w:rsidRPr="006C1102">
        <w:br/>
      </w:r>
      <w:r w:rsidRPr="006C1102">
        <w:rPr>
          <w:b/>
          <w:bCs/>
        </w:rPr>
        <w:br/>
        <w:t xml:space="preserve">Guna </w:t>
      </w:r>
      <w:proofErr w:type="spellStart"/>
      <w:r w:rsidRPr="006C1102">
        <w:rPr>
          <w:b/>
          <w:bCs/>
        </w:rPr>
        <w:t>Federe</w:t>
      </w:r>
      <w:proofErr w:type="spellEnd"/>
      <w:r w:rsidRPr="006C1102">
        <w:br/>
        <w:t>Budžeta departamenta</w:t>
      </w:r>
      <w:r w:rsidRPr="006C1102">
        <w:br/>
        <w:t>Reģionālās attīstības, vides, zemkopības</w:t>
      </w:r>
    </w:p>
    <w:p w:rsidRPr="006C1102" w:rsidR="006C1102" w:rsidP="006C1102" w:rsidRDefault="006C1102" w14:paraId="3848C044" w14:textId="77777777">
      <w:r w:rsidRPr="006C1102">
        <w:t>un satiksmes finansēšanas nodaļas vecākā eksperte</w:t>
      </w:r>
      <w:r w:rsidRPr="006C1102">
        <w:br/>
        <w:t>E-pasts: </w:t>
      </w:r>
      <w:hyperlink w:tgtFrame="_blank" w:history="1" r:id="rId9">
        <w:r w:rsidRPr="006C1102">
          <w:rPr>
            <w:rStyle w:val="Hyperlink"/>
          </w:rPr>
          <w:t>guna.federe@fm.gov.lv</w:t>
        </w:r>
      </w:hyperlink>
      <w:r w:rsidRPr="006C1102">
        <w:br/>
        <w:t>Tālr.: 67095444</w:t>
      </w:r>
    </w:p>
    <w:p w:rsidR="00EB380A" w:rsidRDefault="00EB380A" w14:paraId="5A04B855" w14:textId="77777777"/>
    <w:sectPr w:rsidR="00EB38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102"/>
    <w:rsid w:val="00441A4A"/>
    <w:rsid w:val="006C1102"/>
    <w:rsid w:val="00E32455"/>
    <w:rsid w:val="00EB38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AF95"/>
  <w15:chartTrackingRefBased/>
  <w15:docId w15:val="{14E3C2BD-147A-4F9E-96C8-1D04484E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1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63238">
      <w:bodyDiv w:val="1"/>
      <w:marLeft w:val="0"/>
      <w:marRight w:val="0"/>
      <w:marTop w:val="0"/>
      <w:marBottom w:val="0"/>
      <w:divBdr>
        <w:top w:val="none" w:sz="0" w:space="0" w:color="auto"/>
        <w:left w:val="none" w:sz="0" w:space="0" w:color="auto"/>
        <w:bottom w:val="none" w:sz="0" w:space="0" w:color="auto"/>
        <w:right w:val="none" w:sz="0" w:space="0" w:color="auto"/>
      </w:divBdr>
      <w:divsChild>
        <w:div w:id="857742845">
          <w:marLeft w:val="0"/>
          <w:marRight w:val="0"/>
          <w:marTop w:val="0"/>
          <w:marBottom w:val="0"/>
          <w:divBdr>
            <w:top w:val="none" w:sz="0" w:space="0" w:color="auto"/>
            <w:left w:val="none" w:sz="0" w:space="0" w:color="auto"/>
            <w:bottom w:val="none" w:sz="0" w:space="0" w:color="auto"/>
            <w:right w:val="none" w:sz="0" w:space="0" w:color="auto"/>
          </w:divBdr>
        </w:div>
        <w:div w:id="322055176">
          <w:marLeft w:val="0"/>
          <w:marRight w:val="0"/>
          <w:marTop w:val="0"/>
          <w:marBottom w:val="0"/>
          <w:divBdr>
            <w:top w:val="none" w:sz="0" w:space="0" w:color="auto"/>
            <w:left w:val="none" w:sz="0" w:space="0" w:color="auto"/>
            <w:bottom w:val="none" w:sz="0" w:space="0" w:color="auto"/>
            <w:right w:val="none" w:sz="0" w:space="0" w:color="auto"/>
          </w:divBdr>
        </w:div>
        <w:div w:id="1117065886">
          <w:marLeft w:val="0"/>
          <w:marRight w:val="0"/>
          <w:marTop w:val="0"/>
          <w:marBottom w:val="0"/>
          <w:divBdr>
            <w:top w:val="none" w:sz="0" w:space="0" w:color="auto"/>
            <w:left w:val="none" w:sz="0" w:space="0" w:color="auto"/>
            <w:bottom w:val="none" w:sz="0" w:space="0" w:color="auto"/>
            <w:right w:val="none" w:sz="0" w:space="0" w:color="auto"/>
          </w:divBdr>
        </w:div>
        <w:div w:id="854077839">
          <w:marLeft w:val="0"/>
          <w:marRight w:val="0"/>
          <w:marTop w:val="0"/>
          <w:marBottom w:val="0"/>
          <w:divBdr>
            <w:top w:val="none" w:sz="0" w:space="0" w:color="auto"/>
            <w:left w:val="none" w:sz="0" w:space="0" w:color="auto"/>
            <w:bottom w:val="none" w:sz="0" w:space="0" w:color="auto"/>
            <w:right w:val="none" w:sz="0" w:space="0" w:color="auto"/>
          </w:divBdr>
        </w:div>
        <w:div w:id="1259558557">
          <w:marLeft w:val="0"/>
          <w:marRight w:val="0"/>
          <w:marTop w:val="0"/>
          <w:marBottom w:val="0"/>
          <w:divBdr>
            <w:top w:val="none" w:sz="0" w:space="0" w:color="auto"/>
            <w:left w:val="none" w:sz="0" w:space="0" w:color="auto"/>
            <w:bottom w:val="none" w:sz="0" w:space="0" w:color="auto"/>
            <w:right w:val="none" w:sz="0" w:space="0" w:color="auto"/>
          </w:divBdr>
        </w:div>
        <w:div w:id="1526672921">
          <w:marLeft w:val="0"/>
          <w:marRight w:val="0"/>
          <w:marTop w:val="0"/>
          <w:marBottom w:val="0"/>
          <w:divBdr>
            <w:top w:val="none" w:sz="0" w:space="0" w:color="auto"/>
            <w:left w:val="none" w:sz="0" w:space="0" w:color="auto"/>
            <w:bottom w:val="none" w:sz="0" w:space="0" w:color="auto"/>
            <w:right w:val="none" w:sz="0" w:space="0" w:color="auto"/>
          </w:divBdr>
        </w:div>
        <w:div w:id="62607739">
          <w:marLeft w:val="0"/>
          <w:marRight w:val="0"/>
          <w:marTop w:val="0"/>
          <w:marBottom w:val="0"/>
          <w:divBdr>
            <w:top w:val="none" w:sz="0" w:space="0" w:color="auto"/>
            <w:left w:val="none" w:sz="0" w:space="0" w:color="auto"/>
            <w:bottom w:val="none" w:sz="0" w:space="0" w:color="auto"/>
            <w:right w:val="none" w:sz="0" w:space="0" w:color="auto"/>
          </w:divBdr>
        </w:div>
        <w:div w:id="5989334">
          <w:marLeft w:val="0"/>
          <w:marRight w:val="0"/>
          <w:marTop w:val="0"/>
          <w:marBottom w:val="0"/>
          <w:divBdr>
            <w:top w:val="none" w:sz="0" w:space="0" w:color="auto"/>
            <w:left w:val="none" w:sz="0" w:space="0" w:color="auto"/>
            <w:bottom w:val="none" w:sz="0" w:space="0" w:color="auto"/>
            <w:right w:val="none" w:sz="0" w:space="0" w:color="auto"/>
          </w:divBdr>
        </w:div>
        <w:div w:id="786505446">
          <w:marLeft w:val="0"/>
          <w:marRight w:val="0"/>
          <w:marTop w:val="0"/>
          <w:marBottom w:val="0"/>
          <w:divBdr>
            <w:top w:val="none" w:sz="0" w:space="0" w:color="auto"/>
            <w:left w:val="none" w:sz="0" w:space="0" w:color="auto"/>
            <w:bottom w:val="none" w:sz="0" w:space="0" w:color="auto"/>
            <w:right w:val="none" w:sz="0" w:space="0" w:color="auto"/>
          </w:divBdr>
        </w:div>
        <w:div w:id="1733576698">
          <w:marLeft w:val="0"/>
          <w:marRight w:val="0"/>
          <w:marTop w:val="0"/>
          <w:marBottom w:val="0"/>
          <w:divBdr>
            <w:top w:val="none" w:sz="0" w:space="0" w:color="auto"/>
            <w:left w:val="none" w:sz="0" w:space="0" w:color="auto"/>
            <w:bottom w:val="none" w:sz="0" w:space="0" w:color="auto"/>
            <w:right w:val="none" w:sz="0" w:space="0" w:color="auto"/>
          </w:divBdr>
        </w:div>
        <w:div w:id="1388912420">
          <w:marLeft w:val="0"/>
          <w:marRight w:val="0"/>
          <w:marTop w:val="0"/>
          <w:marBottom w:val="0"/>
          <w:divBdr>
            <w:top w:val="none" w:sz="0" w:space="0" w:color="auto"/>
            <w:left w:val="none" w:sz="0" w:space="0" w:color="auto"/>
            <w:bottom w:val="none" w:sz="0" w:space="0" w:color="auto"/>
            <w:right w:val="none" w:sz="0" w:space="0" w:color="auto"/>
          </w:divBdr>
        </w:div>
        <w:div w:id="910509707">
          <w:marLeft w:val="720"/>
          <w:marRight w:val="0"/>
          <w:marTop w:val="0"/>
          <w:marBottom w:val="0"/>
          <w:divBdr>
            <w:top w:val="none" w:sz="0" w:space="0" w:color="auto"/>
            <w:left w:val="none" w:sz="0" w:space="0" w:color="auto"/>
            <w:bottom w:val="none" w:sz="0" w:space="0" w:color="auto"/>
            <w:right w:val="none" w:sz="0" w:space="0" w:color="auto"/>
          </w:divBdr>
        </w:div>
        <w:div w:id="1338267164">
          <w:marLeft w:val="0"/>
          <w:marRight w:val="0"/>
          <w:marTop w:val="0"/>
          <w:marBottom w:val="0"/>
          <w:divBdr>
            <w:top w:val="none" w:sz="0" w:space="0" w:color="auto"/>
            <w:left w:val="none" w:sz="0" w:space="0" w:color="auto"/>
            <w:bottom w:val="none" w:sz="0" w:space="0" w:color="auto"/>
            <w:right w:val="none" w:sz="0" w:space="0" w:color="auto"/>
          </w:divBdr>
        </w:div>
        <w:div w:id="404647339">
          <w:marLeft w:val="0"/>
          <w:marRight w:val="0"/>
          <w:marTop w:val="0"/>
          <w:marBottom w:val="0"/>
          <w:divBdr>
            <w:top w:val="none" w:sz="0" w:space="0" w:color="auto"/>
            <w:left w:val="none" w:sz="0" w:space="0" w:color="auto"/>
            <w:bottom w:val="none" w:sz="0" w:space="0" w:color="auto"/>
            <w:right w:val="none" w:sz="0" w:space="0" w:color="auto"/>
          </w:divBdr>
        </w:div>
        <w:div w:id="1962490285">
          <w:marLeft w:val="0"/>
          <w:marRight w:val="0"/>
          <w:marTop w:val="0"/>
          <w:marBottom w:val="0"/>
          <w:divBdr>
            <w:top w:val="none" w:sz="0" w:space="0" w:color="auto"/>
            <w:left w:val="none" w:sz="0" w:space="0" w:color="auto"/>
            <w:bottom w:val="none" w:sz="0" w:space="0" w:color="auto"/>
            <w:right w:val="none" w:sz="0" w:space="0" w:color="auto"/>
          </w:divBdr>
        </w:div>
        <w:div w:id="1203982087">
          <w:marLeft w:val="0"/>
          <w:marRight w:val="0"/>
          <w:marTop w:val="0"/>
          <w:marBottom w:val="0"/>
          <w:divBdr>
            <w:top w:val="none" w:sz="0" w:space="0" w:color="auto"/>
            <w:left w:val="none" w:sz="0" w:space="0" w:color="auto"/>
            <w:bottom w:val="none" w:sz="0" w:space="0" w:color="auto"/>
            <w:right w:val="none" w:sz="0" w:space="0" w:color="auto"/>
          </w:divBdr>
        </w:div>
        <w:div w:id="1651249700">
          <w:marLeft w:val="0"/>
          <w:marRight w:val="0"/>
          <w:marTop w:val="0"/>
          <w:marBottom w:val="0"/>
          <w:divBdr>
            <w:top w:val="none" w:sz="0" w:space="0" w:color="auto"/>
            <w:left w:val="none" w:sz="0" w:space="0" w:color="auto"/>
            <w:bottom w:val="none" w:sz="0" w:space="0" w:color="auto"/>
            <w:right w:val="none" w:sz="0" w:space="0" w:color="auto"/>
          </w:divBdr>
        </w:div>
        <w:div w:id="1773671814">
          <w:marLeft w:val="0"/>
          <w:marRight w:val="0"/>
          <w:marTop w:val="0"/>
          <w:marBottom w:val="0"/>
          <w:divBdr>
            <w:top w:val="none" w:sz="0" w:space="0" w:color="auto"/>
            <w:left w:val="none" w:sz="0" w:space="0" w:color="auto"/>
            <w:bottom w:val="none" w:sz="0" w:space="0" w:color="auto"/>
            <w:right w:val="none" w:sz="0" w:space="0" w:color="auto"/>
          </w:divBdr>
        </w:div>
        <w:div w:id="999387232">
          <w:marLeft w:val="0"/>
          <w:marRight w:val="0"/>
          <w:marTop w:val="0"/>
          <w:marBottom w:val="0"/>
          <w:divBdr>
            <w:top w:val="none" w:sz="0" w:space="0" w:color="auto"/>
            <w:left w:val="none" w:sz="0" w:space="0" w:color="auto"/>
            <w:bottom w:val="none" w:sz="0" w:space="0" w:color="auto"/>
            <w:right w:val="none" w:sz="0" w:space="0" w:color="auto"/>
          </w:divBdr>
        </w:div>
        <w:div w:id="829519384">
          <w:marLeft w:val="0"/>
          <w:marRight w:val="0"/>
          <w:marTop w:val="0"/>
          <w:marBottom w:val="0"/>
          <w:divBdr>
            <w:top w:val="none" w:sz="0" w:space="0" w:color="auto"/>
            <w:left w:val="none" w:sz="0" w:space="0" w:color="auto"/>
            <w:bottom w:val="none" w:sz="0" w:space="0" w:color="auto"/>
            <w:right w:val="none" w:sz="0" w:space="0" w:color="auto"/>
          </w:divBdr>
        </w:div>
        <w:div w:id="666830124">
          <w:marLeft w:val="0"/>
          <w:marRight w:val="0"/>
          <w:marTop w:val="0"/>
          <w:marBottom w:val="120"/>
          <w:divBdr>
            <w:top w:val="none" w:sz="0" w:space="0" w:color="auto"/>
            <w:left w:val="none" w:sz="0" w:space="0" w:color="auto"/>
            <w:bottom w:val="none" w:sz="0" w:space="0" w:color="auto"/>
            <w:right w:val="none" w:sz="0" w:space="0" w:color="auto"/>
          </w:divBdr>
        </w:div>
        <w:div w:id="1964458047">
          <w:marLeft w:val="0"/>
          <w:marRight w:val="0"/>
          <w:marTop w:val="0"/>
          <w:marBottom w:val="120"/>
          <w:divBdr>
            <w:top w:val="none" w:sz="0" w:space="0" w:color="auto"/>
            <w:left w:val="none" w:sz="0" w:space="0" w:color="auto"/>
            <w:bottom w:val="none" w:sz="0" w:space="0" w:color="auto"/>
            <w:right w:val="none" w:sz="0" w:space="0" w:color="auto"/>
          </w:divBdr>
        </w:div>
        <w:div w:id="1051076405">
          <w:marLeft w:val="0"/>
          <w:marRight w:val="0"/>
          <w:marTop w:val="0"/>
          <w:marBottom w:val="0"/>
          <w:divBdr>
            <w:top w:val="none" w:sz="0" w:space="0" w:color="auto"/>
            <w:left w:val="none" w:sz="0" w:space="0" w:color="auto"/>
            <w:bottom w:val="none" w:sz="0" w:space="0" w:color="auto"/>
            <w:right w:val="none" w:sz="0" w:space="0" w:color="auto"/>
          </w:divBdr>
        </w:div>
        <w:div w:id="925261537">
          <w:marLeft w:val="0"/>
          <w:marRight w:val="0"/>
          <w:marTop w:val="0"/>
          <w:marBottom w:val="0"/>
          <w:divBdr>
            <w:top w:val="none" w:sz="0" w:space="0" w:color="auto"/>
            <w:left w:val="none" w:sz="0" w:space="0" w:color="auto"/>
            <w:bottom w:val="none" w:sz="0" w:space="0" w:color="auto"/>
            <w:right w:val="none" w:sz="0" w:space="0" w:color="auto"/>
          </w:divBdr>
        </w:div>
        <w:div w:id="275983578">
          <w:marLeft w:val="600"/>
          <w:marRight w:val="0"/>
          <w:marTop w:val="280"/>
          <w:marBottom w:val="0"/>
          <w:divBdr>
            <w:top w:val="none" w:sz="0" w:space="0" w:color="auto"/>
            <w:left w:val="none" w:sz="0" w:space="0" w:color="auto"/>
            <w:bottom w:val="none" w:sz="0" w:space="0" w:color="auto"/>
            <w:right w:val="none" w:sz="0" w:space="0" w:color="auto"/>
          </w:divBdr>
        </w:div>
        <w:div w:id="942957202">
          <w:marLeft w:val="600"/>
          <w:marRight w:val="0"/>
          <w:marTop w:val="280"/>
          <w:marBottom w:val="0"/>
          <w:divBdr>
            <w:top w:val="none" w:sz="0" w:space="0" w:color="auto"/>
            <w:left w:val="none" w:sz="0" w:space="0" w:color="auto"/>
            <w:bottom w:val="none" w:sz="0" w:space="0" w:color="auto"/>
            <w:right w:val="none" w:sz="0" w:space="0" w:color="auto"/>
          </w:divBdr>
        </w:div>
        <w:div w:id="369846411">
          <w:marLeft w:val="600"/>
          <w:marRight w:val="0"/>
          <w:marTop w:val="280"/>
          <w:marBottom w:val="0"/>
          <w:divBdr>
            <w:top w:val="none" w:sz="0" w:space="0" w:color="auto"/>
            <w:left w:val="none" w:sz="0" w:space="0" w:color="auto"/>
            <w:bottom w:val="none" w:sz="0" w:space="0" w:color="auto"/>
            <w:right w:val="none" w:sz="0" w:space="0" w:color="auto"/>
          </w:divBdr>
        </w:div>
        <w:div w:id="1387411653">
          <w:marLeft w:val="0"/>
          <w:marRight w:val="0"/>
          <w:marTop w:val="0"/>
          <w:marBottom w:val="0"/>
          <w:divBdr>
            <w:top w:val="none" w:sz="0" w:space="0" w:color="auto"/>
            <w:left w:val="none" w:sz="0" w:space="0" w:color="auto"/>
            <w:bottom w:val="none" w:sz="0" w:space="0" w:color="auto"/>
            <w:right w:val="none" w:sz="0" w:space="0" w:color="auto"/>
          </w:divBdr>
        </w:div>
        <w:div w:id="2144732660">
          <w:marLeft w:val="600"/>
          <w:marRight w:val="0"/>
          <w:marTop w:val="280"/>
          <w:marBottom w:val="0"/>
          <w:divBdr>
            <w:top w:val="none" w:sz="0" w:space="0" w:color="auto"/>
            <w:left w:val="none" w:sz="0" w:space="0" w:color="auto"/>
            <w:bottom w:val="none" w:sz="0" w:space="0" w:color="auto"/>
            <w:right w:val="none" w:sz="0" w:space="0" w:color="auto"/>
          </w:divBdr>
        </w:div>
        <w:div w:id="1632978574">
          <w:marLeft w:val="600"/>
          <w:marRight w:val="0"/>
          <w:marTop w:val="280"/>
          <w:marBottom w:val="0"/>
          <w:divBdr>
            <w:top w:val="none" w:sz="0" w:space="0" w:color="auto"/>
            <w:left w:val="none" w:sz="0" w:space="0" w:color="auto"/>
            <w:bottom w:val="none" w:sz="0" w:space="0" w:color="auto"/>
            <w:right w:val="none" w:sz="0" w:space="0" w:color="auto"/>
          </w:divBdr>
        </w:div>
        <w:div w:id="1192841265">
          <w:marLeft w:val="600"/>
          <w:marRight w:val="0"/>
          <w:marTop w:val="280"/>
          <w:marBottom w:val="0"/>
          <w:divBdr>
            <w:top w:val="none" w:sz="0" w:space="0" w:color="auto"/>
            <w:left w:val="none" w:sz="0" w:space="0" w:color="auto"/>
            <w:bottom w:val="none" w:sz="0" w:space="0" w:color="auto"/>
            <w:right w:val="none" w:sz="0" w:space="0" w:color="auto"/>
          </w:divBdr>
        </w:div>
        <w:div w:id="2070567340">
          <w:marLeft w:val="0"/>
          <w:marRight w:val="0"/>
          <w:marTop w:val="0"/>
          <w:marBottom w:val="0"/>
          <w:divBdr>
            <w:top w:val="none" w:sz="0" w:space="0" w:color="auto"/>
            <w:left w:val="none" w:sz="0" w:space="0" w:color="auto"/>
            <w:bottom w:val="none" w:sz="0" w:space="0" w:color="auto"/>
            <w:right w:val="none" w:sz="0" w:space="0" w:color="auto"/>
          </w:divBdr>
        </w:div>
        <w:div w:id="836577782">
          <w:marLeft w:val="600"/>
          <w:marRight w:val="0"/>
          <w:marTop w:val="280"/>
          <w:marBottom w:val="0"/>
          <w:divBdr>
            <w:top w:val="none" w:sz="0" w:space="0" w:color="auto"/>
            <w:left w:val="none" w:sz="0" w:space="0" w:color="auto"/>
            <w:bottom w:val="none" w:sz="0" w:space="0" w:color="auto"/>
            <w:right w:val="none" w:sz="0" w:space="0" w:color="auto"/>
          </w:divBdr>
        </w:div>
        <w:div w:id="1438866289">
          <w:marLeft w:val="600"/>
          <w:marRight w:val="0"/>
          <w:marTop w:val="280"/>
          <w:marBottom w:val="0"/>
          <w:divBdr>
            <w:top w:val="none" w:sz="0" w:space="0" w:color="auto"/>
            <w:left w:val="none" w:sz="0" w:space="0" w:color="auto"/>
            <w:bottom w:val="none" w:sz="0" w:space="0" w:color="auto"/>
            <w:right w:val="none" w:sz="0" w:space="0" w:color="auto"/>
          </w:divBdr>
        </w:div>
        <w:div w:id="472137584">
          <w:marLeft w:val="600"/>
          <w:marRight w:val="0"/>
          <w:marTop w:val="280"/>
          <w:marBottom w:val="0"/>
          <w:divBdr>
            <w:top w:val="none" w:sz="0" w:space="0" w:color="auto"/>
            <w:left w:val="none" w:sz="0" w:space="0" w:color="auto"/>
            <w:bottom w:val="none" w:sz="0" w:space="0" w:color="auto"/>
            <w:right w:val="none" w:sz="0" w:space="0" w:color="auto"/>
          </w:divBdr>
        </w:div>
        <w:div w:id="1135174508">
          <w:marLeft w:val="0"/>
          <w:marRight w:val="0"/>
          <w:marTop w:val="0"/>
          <w:marBottom w:val="0"/>
          <w:divBdr>
            <w:top w:val="none" w:sz="0" w:space="0" w:color="auto"/>
            <w:left w:val="none" w:sz="0" w:space="0" w:color="auto"/>
            <w:bottom w:val="none" w:sz="0" w:space="0" w:color="auto"/>
            <w:right w:val="none" w:sz="0" w:space="0" w:color="auto"/>
          </w:divBdr>
        </w:div>
        <w:div w:id="1158620720">
          <w:marLeft w:val="0"/>
          <w:marRight w:val="0"/>
          <w:marTop w:val="0"/>
          <w:marBottom w:val="0"/>
          <w:divBdr>
            <w:top w:val="none" w:sz="0" w:space="0" w:color="auto"/>
            <w:left w:val="none" w:sz="0" w:space="0" w:color="auto"/>
            <w:bottom w:val="none" w:sz="0" w:space="0" w:color="auto"/>
            <w:right w:val="none" w:sz="0" w:space="0" w:color="auto"/>
          </w:divBdr>
        </w:div>
        <w:div w:id="547961060">
          <w:marLeft w:val="0"/>
          <w:marRight w:val="0"/>
          <w:marTop w:val="0"/>
          <w:marBottom w:val="0"/>
          <w:divBdr>
            <w:top w:val="none" w:sz="0" w:space="0" w:color="auto"/>
            <w:left w:val="none" w:sz="0" w:space="0" w:color="auto"/>
            <w:bottom w:val="none" w:sz="0" w:space="0" w:color="auto"/>
            <w:right w:val="none" w:sz="0" w:space="0" w:color="auto"/>
          </w:divBdr>
        </w:div>
        <w:div w:id="424426272">
          <w:marLeft w:val="0"/>
          <w:marRight w:val="0"/>
          <w:marTop w:val="0"/>
          <w:marBottom w:val="0"/>
          <w:divBdr>
            <w:top w:val="none" w:sz="0" w:space="0" w:color="auto"/>
            <w:left w:val="none" w:sz="0" w:space="0" w:color="auto"/>
            <w:bottom w:val="none" w:sz="0" w:space="0" w:color="auto"/>
            <w:right w:val="none" w:sz="0" w:space="0" w:color="auto"/>
          </w:divBdr>
        </w:div>
        <w:div w:id="1713924943">
          <w:marLeft w:val="0"/>
          <w:marRight w:val="0"/>
          <w:marTop w:val="0"/>
          <w:marBottom w:val="0"/>
          <w:divBdr>
            <w:top w:val="none" w:sz="0" w:space="0" w:color="auto"/>
            <w:left w:val="none" w:sz="0" w:space="0" w:color="auto"/>
            <w:bottom w:val="none" w:sz="0" w:space="0" w:color="auto"/>
            <w:right w:val="none" w:sz="0" w:space="0" w:color="auto"/>
          </w:divBdr>
        </w:div>
        <w:div w:id="1574507203">
          <w:marLeft w:val="0"/>
          <w:marRight w:val="0"/>
          <w:marTop w:val="0"/>
          <w:marBottom w:val="0"/>
          <w:divBdr>
            <w:top w:val="none" w:sz="0" w:space="0" w:color="auto"/>
            <w:left w:val="none" w:sz="0" w:space="0" w:color="auto"/>
            <w:bottom w:val="none" w:sz="0" w:space="0" w:color="auto"/>
            <w:right w:val="none" w:sz="0" w:space="0" w:color="auto"/>
          </w:divBdr>
        </w:div>
        <w:div w:id="1553733790">
          <w:marLeft w:val="0"/>
          <w:marRight w:val="0"/>
          <w:marTop w:val="0"/>
          <w:marBottom w:val="0"/>
          <w:divBdr>
            <w:top w:val="none" w:sz="0" w:space="0" w:color="auto"/>
            <w:left w:val="none" w:sz="0" w:space="0" w:color="auto"/>
            <w:bottom w:val="none" w:sz="0" w:space="0" w:color="auto"/>
            <w:right w:val="none" w:sz="0" w:space="0" w:color="auto"/>
          </w:divBdr>
        </w:div>
        <w:div w:id="113408524">
          <w:marLeft w:val="0"/>
          <w:marRight w:val="0"/>
          <w:marTop w:val="0"/>
          <w:marBottom w:val="0"/>
          <w:divBdr>
            <w:top w:val="none" w:sz="0" w:space="0" w:color="auto"/>
            <w:left w:val="none" w:sz="0" w:space="0" w:color="auto"/>
            <w:bottom w:val="none" w:sz="0" w:space="0" w:color="auto"/>
            <w:right w:val="none" w:sz="0" w:space="0" w:color="auto"/>
          </w:divBdr>
        </w:div>
        <w:div w:id="1048334413">
          <w:marLeft w:val="0"/>
          <w:marRight w:val="0"/>
          <w:marTop w:val="0"/>
          <w:marBottom w:val="0"/>
          <w:divBdr>
            <w:top w:val="none" w:sz="0" w:space="0" w:color="auto"/>
            <w:left w:val="none" w:sz="0" w:space="0" w:color="auto"/>
            <w:bottom w:val="none" w:sz="0" w:space="0" w:color="auto"/>
            <w:right w:val="none" w:sz="0" w:space="0" w:color="auto"/>
          </w:divBdr>
        </w:div>
        <w:div w:id="1205943300">
          <w:marLeft w:val="0"/>
          <w:marRight w:val="0"/>
          <w:marTop w:val="0"/>
          <w:marBottom w:val="0"/>
          <w:divBdr>
            <w:top w:val="none" w:sz="0" w:space="0" w:color="auto"/>
            <w:left w:val="none" w:sz="0" w:space="0" w:color="auto"/>
            <w:bottom w:val="none" w:sz="0" w:space="0" w:color="auto"/>
            <w:right w:val="none" w:sz="0" w:space="0" w:color="auto"/>
          </w:divBdr>
        </w:div>
        <w:div w:id="1833180517">
          <w:marLeft w:val="0"/>
          <w:marRight w:val="0"/>
          <w:marTop w:val="0"/>
          <w:marBottom w:val="0"/>
          <w:divBdr>
            <w:top w:val="none" w:sz="0" w:space="0" w:color="auto"/>
            <w:left w:val="none" w:sz="0" w:space="0" w:color="auto"/>
            <w:bottom w:val="none" w:sz="0" w:space="0" w:color="auto"/>
            <w:right w:val="none" w:sz="0" w:space="0" w:color="auto"/>
          </w:divBdr>
        </w:div>
        <w:div w:id="1165245880">
          <w:marLeft w:val="0"/>
          <w:marRight w:val="0"/>
          <w:marTop w:val="0"/>
          <w:marBottom w:val="0"/>
          <w:divBdr>
            <w:top w:val="none" w:sz="0" w:space="0" w:color="auto"/>
            <w:left w:val="none" w:sz="0" w:space="0" w:color="auto"/>
            <w:bottom w:val="none" w:sz="0" w:space="0" w:color="auto"/>
            <w:right w:val="none" w:sz="0" w:space="0" w:color="auto"/>
          </w:divBdr>
        </w:div>
        <w:div w:id="1491942407">
          <w:marLeft w:val="0"/>
          <w:marRight w:val="0"/>
          <w:marTop w:val="0"/>
          <w:marBottom w:val="0"/>
          <w:divBdr>
            <w:top w:val="none" w:sz="0" w:space="0" w:color="auto"/>
            <w:left w:val="none" w:sz="0" w:space="0" w:color="auto"/>
            <w:bottom w:val="none" w:sz="0" w:space="0" w:color="auto"/>
            <w:right w:val="none" w:sz="0" w:space="0" w:color="auto"/>
          </w:divBdr>
        </w:div>
        <w:div w:id="2059012068">
          <w:marLeft w:val="0"/>
          <w:marRight w:val="0"/>
          <w:marTop w:val="0"/>
          <w:marBottom w:val="0"/>
          <w:divBdr>
            <w:top w:val="none" w:sz="0" w:space="0" w:color="auto"/>
            <w:left w:val="none" w:sz="0" w:space="0" w:color="auto"/>
            <w:bottom w:val="none" w:sz="0" w:space="0" w:color="auto"/>
            <w:right w:val="none" w:sz="0" w:space="0" w:color="auto"/>
          </w:divBdr>
        </w:div>
        <w:div w:id="1214610559">
          <w:marLeft w:val="0"/>
          <w:marRight w:val="0"/>
          <w:marTop w:val="0"/>
          <w:marBottom w:val="0"/>
          <w:divBdr>
            <w:top w:val="none" w:sz="0" w:space="0" w:color="auto"/>
            <w:left w:val="none" w:sz="0" w:space="0" w:color="auto"/>
            <w:bottom w:val="none" w:sz="0" w:space="0" w:color="auto"/>
            <w:right w:val="none" w:sz="0" w:space="0" w:color="auto"/>
          </w:divBdr>
        </w:div>
        <w:div w:id="1081869490">
          <w:marLeft w:val="0"/>
          <w:marRight w:val="0"/>
          <w:marTop w:val="0"/>
          <w:marBottom w:val="0"/>
          <w:divBdr>
            <w:top w:val="none" w:sz="0" w:space="0" w:color="auto"/>
            <w:left w:val="none" w:sz="0" w:space="0" w:color="auto"/>
            <w:bottom w:val="none" w:sz="0" w:space="0" w:color="auto"/>
            <w:right w:val="none" w:sz="0" w:space="0" w:color="auto"/>
          </w:divBdr>
        </w:div>
        <w:div w:id="827524246">
          <w:marLeft w:val="0"/>
          <w:marRight w:val="0"/>
          <w:marTop w:val="0"/>
          <w:marBottom w:val="0"/>
          <w:divBdr>
            <w:top w:val="none" w:sz="0" w:space="0" w:color="auto"/>
            <w:left w:val="none" w:sz="0" w:space="0" w:color="auto"/>
            <w:bottom w:val="none" w:sz="0" w:space="0" w:color="auto"/>
            <w:right w:val="none" w:sz="0" w:space="0" w:color="auto"/>
          </w:divBdr>
        </w:div>
        <w:div w:id="2074963863">
          <w:marLeft w:val="0"/>
          <w:marRight w:val="0"/>
          <w:marTop w:val="0"/>
          <w:marBottom w:val="0"/>
          <w:divBdr>
            <w:top w:val="none" w:sz="0" w:space="0" w:color="auto"/>
            <w:left w:val="none" w:sz="0" w:space="0" w:color="auto"/>
            <w:bottom w:val="none" w:sz="0" w:space="0" w:color="auto"/>
            <w:right w:val="none" w:sz="0" w:space="0" w:color="auto"/>
          </w:divBdr>
        </w:div>
        <w:div w:id="231165539">
          <w:marLeft w:val="0"/>
          <w:marRight w:val="0"/>
          <w:marTop w:val="0"/>
          <w:marBottom w:val="0"/>
          <w:divBdr>
            <w:top w:val="none" w:sz="0" w:space="0" w:color="auto"/>
            <w:left w:val="none" w:sz="0" w:space="0" w:color="auto"/>
            <w:bottom w:val="none" w:sz="0" w:space="0" w:color="auto"/>
            <w:right w:val="none" w:sz="0" w:space="0" w:color="auto"/>
          </w:divBdr>
        </w:div>
        <w:div w:id="1110473796">
          <w:marLeft w:val="0"/>
          <w:marRight w:val="0"/>
          <w:marTop w:val="0"/>
          <w:marBottom w:val="0"/>
          <w:divBdr>
            <w:top w:val="none" w:sz="0" w:space="0" w:color="auto"/>
            <w:left w:val="none" w:sz="0" w:space="0" w:color="auto"/>
            <w:bottom w:val="none" w:sz="0" w:space="0" w:color="auto"/>
            <w:right w:val="none" w:sz="0" w:space="0" w:color="auto"/>
          </w:divBdr>
        </w:div>
        <w:div w:id="2050453375">
          <w:marLeft w:val="0"/>
          <w:marRight w:val="0"/>
          <w:marTop w:val="0"/>
          <w:marBottom w:val="0"/>
          <w:divBdr>
            <w:top w:val="none" w:sz="0" w:space="0" w:color="auto"/>
            <w:left w:val="none" w:sz="0" w:space="0" w:color="auto"/>
            <w:bottom w:val="none" w:sz="0" w:space="0" w:color="auto"/>
            <w:right w:val="none" w:sz="0" w:space="0" w:color="auto"/>
          </w:divBdr>
        </w:div>
        <w:div w:id="1936130102">
          <w:marLeft w:val="0"/>
          <w:marRight w:val="0"/>
          <w:marTop w:val="75"/>
          <w:marBottom w:val="75"/>
          <w:divBdr>
            <w:top w:val="none" w:sz="0" w:space="0" w:color="auto"/>
            <w:left w:val="none" w:sz="0" w:space="0" w:color="auto"/>
            <w:bottom w:val="none" w:sz="0" w:space="0" w:color="auto"/>
            <w:right w:val="none" w:sz="0" w:space="0" w:color="auto"/>
          </w:divBdr>
        </w:div>
        <w:div w:id="621500188">
          <w:marLeft w:val="0"/>
          <w:marRight w:val="0"/>
          <w:marTop w:val="0"/>
          <w:marBottom w:val="0"/>
          <w:divBdr>
            <w:top w:val="none" w:sz="0" w:space="0" w:color="auto"/>
            <w:left w:val="none" w:sz="0" w:space="0" w:color="auto"/>
            <w:bottom w:val="none" w:sz="0" w:space="0" w:color="auto"/>
            <w:right w:val="none" w:sz="0" w:space="0" w:color="auto"/>
          </w:divBdr>
        </w:div>
        <w:div w:id="1566450189">
          <w:marLeft w:val="0"/>
          <w:marRight w:val="0"/>
          <w:marTop w:val="0"/>
          <w:marBottom w:val="0"/>
          <w:divBdr>
            <w:top w:val="none" w:sz="0" w:space="0" w:color="auto"/>
            <w:left w:val="none" w:sz="0" w:space="0" w:color="auto"/>
            <w:bottom w:val="none" w:sz="0" w:space="0" w:color="auto"/>
            <w:right w:val="none" w:sz="0" w:space="0" w:color="auto"/>
          </w:divBdr>
        </w:div>
        <w:div w:id="1490562350">
          <w:marLeft w:val="0"/>
          <w:marRight w:val="0"/>
          <w:marTop w:val="0"/>
          <w:marBottom w:val="0"/>
          <w:divBdr>
            <w:top w:val="none" w:sz="0" w:space="0" w:color="auto"/>
            <w:left w:val="none" w:sz="0" w:space="0" w:color="auto"/>
            <w:bottom w:val="none" w:sz="0" w:space="0" w:color="auto"/>
            <w:right w:val="none" w:sz="0" w:space="0" w:color="auto"/>
          </w:divBdr>
        </w:div>
        <w:div w:id="1285035915">
          <w:marLeft w:val="0"/>
          <w:marRight w:val="0"/>
          <w:marTop w:val="0"/>
          <w:marBottom w:val="0"/>
          <w:divBdr>
            <w:top w:val="none" w:sz="0" w:space="0" w:color="auto"/>
            <w:left w:val="none" w:sz="0" w:space="0" w:color="auto"/>
            <w:bottom w:val="none" w:sz="0" w:space="0" w:color="auto"/>
            <w:right w:val="none" w:sz="0" w:space="0" w:color="auto"/>
          </w:divBdr>
        </w:div>
        <w:div w:id="1058362900">
          <w:marLeft w:val="0"/>
          <w:marRight w:val="0"/>
          <w:marTop w:val="0"/>
          <w:marBottom w:val="0"/>
          <w:divBdr>
            <w:top w:val="none" w:sz="0" w:space="0" w:color="auto"/>
            <w:left w:val="none" w:sz="0" w:space="0" w:color="auto"/>
            <w:bottom w:val="none" w:sz="0" w:space="0" w:color="auto"/>
            <w:right w:val="none" w:sz="0" w:space="0" w:color="auto"/>
          </w:divBdr>
        </w:div>
        <w:div w:id="1894543189">
          <w:marLeft w:val="0"/>
          <w:marRight w:val="0"/>
          <w:marTop w:val="0"/>
          <w:marBottom w:val="0"/>
          <w:divBdr>
            <w:top w:val="none" w:sz="0" w:space="0" w:color="auto"/>
            <w:left w:val="none" w:sz="0" w:space="0" w:color="auto"/>
            <w:bottom w:val="none" w:sz="0" w:space="0" w:color="auto"/>
            <w:right w:val="none" w:sz="0" w:space="0" w:color="auto"/>
          </w:divBdr>
        </w:div>
        <w:div w:id="1134907017">
          <w:marLeft w:val="0"/>
          <w:marRight w:val="0"/>
          <w:marTop w:val="0"/>
          <w:marBottom w:val="0"/>
          <w:divBdr>
            <w:top w:val="none" w:sz="0" w:space="0" w:color="auto"/>
            <w:left w:val="none" w:sz="0" w:space="0" w:color="auto"/>
            <w:bottom w:val="none" w:sz="0" w:space="0" w:color="auto"/>
            <w:right w:val="none" w:sz="0" w:space="0" w:color="auto"/>
          </w:divBdr>
        </w:div>
        <w:div w:id="1825319295">
          <w:marLeft w:val="0"/>
          <w:marRight w:val="0"/>
          <w:marTop w:val="0"/>
          <w:marBottom w:val="0"/>
          <w:divBdr>
            <w:top w:val="none" w:sz="0" w:space="0" w:color="auto"/>
            <w:left w:val="none" w:sz="0" w:space="0" w:color="auto"/>
            <w:bottom w:val="none" w:sz="0" w:space="0" w:color="auto"/>
            <w:right w:val="none" w:sz="0" w:space="0" w:color="auto"/>
          </w:divBdr>
        </w:div>
        <w:div w:id="1935285845">
          <w:marLeft w:val="0"/>
          <w:marRight w:val="0"/>
          <w:marTop w:val="0"/>
          <w:marBottom w:val="0"/>
          <w:divBdr>
            <w:top w:val="none" w:sz="0" w:space="0" w:color="auto"/>
            <w:left w:val="none" w:sz="0" w:space="0" w:color="auto"/>
            <w:bottom w:val="none" w:sz="0" w:space="0" w:color="auto"/>
            <w:right w:val="none" w:sz="0" w:space="0" w:color="auto"/>
          </w:divBdr>
        </w:div>
        <w:div w:id="1013922655">
          <w:marLeft w:val="0"/>
          <w:marRight w:val="0"/>
          <w:marTop w:val="0"/>
          <w:marBottom w:val="0"/>
          <w:divBdr>
            <w:top w:val="none" w:sz="0" w:space="0" w:color="auto"/>
            <w:left w:val="none" w:sz="0" w:space="0" w:color="auto"/>
            <w:bottom w:val="none" w:sz="0" w:space="0" w:color="auto"/>
            <w:right w:val="none" w:sz="0" w:space="0" w:color="auto"/>
          </w:divBdr>
        </w:div>
        <w:div w:id="1132134866">
          <w:marLeft w:val="0"/>
          <w:marRight w:val="0"/>
          <w:marTop w:val="0"/>
          <w:marBottom w:val="0"/>
          <w:divBdr>
            <w:top w:val="none" w:sz="0" w:space="0" w:color="auto"/>
            <w:left w:val="none" w:sz="0" w:space="0" w:color="auto"/>
            <w:bottom w:val="none" w:sz="0" w:space="0" w:color="auto"/>
            <w:right w:val="none" w:sz="0" w:space="0" w:color="auto"/>
          </w:divBdr>
        </w:div>
        <w:div w:id="1360005448">
          <w:marLeft w:val="0"/>
          <w:marRight w:val="0"/>
          <w:marTop w:val="0"/>
          <w:marBottom w:val="0"/>
          <w:divBdr>
            <w:top w:val="none" w:sz="0" w:space="0" w:color="auto"/>
            <w:left w:val="none" w:sz="0" w:space="0" w:color="auto"/>
            <w:bottom w:val="none" w:sz="0" w:space="0" w:color="auto"/>
            <w:right w:val="none" w:sz="0" w:space="0" w:color="auto"/>
          </w:divBdr>
        </w:div>
        <w:div w:id="337313889">
          <w:marLeft w:val="0"/>
          <w:marRight w:val="0"/>
          <w:marTop w:val="0"/>
          <w:marBottom w:val="0"/>
          <w:divBdr>
            <w:top w:val="none" w:sz="0" w:space="0" w:color="auto"/>
            <w:left w:val="none" w:sz="0" w:space="0" w:color="auto"/>
            <w:bottom w:val="none" w:sz="0" w:space="0" w:color="auto"/>
            <w:right w:val="none" w:sz="0" w:space="0" w:color="auto"/>
          </w:divBdr>
        </w:div>
        <w:div w:id="416488623">
          <w:marLeft w:val="0"/>
          <w:marRight w:val="0"/>
          <w:marTop w:val="0"/>
          <w:marBottom w:val="0"/>
          <w:divBdr>
            <w:top w:val="none" w:sz="0" w:space="0" w:color="auto"/>
            <w:left w:val="none" w:sz="0" w:space="0" w:color="auto"/>
            <w:bottom w:val="none" w:sz="0" w:space="0" w:color="auto"/>
            <w:right w:val="none" w:sz="0" w:space="0" w:color="auto"/>
          </w:divBdr>
        </w:div>
        <w:div w:id="1900748328">
          <w:marLeft w:val="0"/>
          <w:marRight w:val="0"/>
          <w:marTop w:val="0"/>
          <w:marBottom w:val="0"/>
          <w:divBdr>
            <w:top w:val="none" w:sz="0" w:space="0" w:color="auto"/>
            <w:left w:val="none" w:sz="0" w:space="0" w:color="auto"/>
            <w:bottom w:val="none" w:sz="0" w:space="0" w:color="auto"/>
            <w:right w:val="none" w:sz="0" w:space="0" w:color="auto"/>
          </w:divBdr>
        </w:div>
        <w:div w:id="1974824798">
          <w:marLeft w:val="0"/>
          <w:marRight w:val="0"/>
          <w:marTop w:val="0"/>
          <w:marBottom w:val="0"/>
          <w:divBdr>
            <w:top w:val="none" w:sz="0" w:space="0" w:color="auto"/>
            <w:left w:val="none" w:sz="0" w:space="0" w:color="auto"/>
            <w:bottom w:val="none" w:sz="0" w:space="0" w:color="auto"/>
            <w:right w:val="none" w:sz="0" w:space="0" w:color="auto"/>
          </w:divBdr>
        </w:div>
        <w:div w:id="462431899">
          <w:marLeft w:val="0"/>
          <w:marRight w:val="0"/>
          <w:marTop w:val="0"/>
          <w:marBottom w:val="0"/>
          <w:divBdr>
            <w:top w:val="none" w:sz="0" w:space="0" w:color="auto"/>
            <w:left w:val="none" w:sz="0" w:space="0" w:color="auto"/>
            <w:bottom w:val="none" w:sz="0" w:space="0" w:color="auto"/>
            <w:right w:val="none" w:sz="0" w:space="0" w:color="auto"/>
          </w:divBdr>
        </w:div>
        <w:div w:id="673386387">
          <w:marLeft w:val="0"/>
          <w:marRight w:val="0"/>
          <w:marTop w:val="0"/>
          <w:marBottom w:val="0"/>
          <w:divBdr>
            <w:top w:val="none" w:sz="0" w:space="0" w:color="auto"/>
            <w:left w:val="none" w:sz="0" w:space="0" w:color="auto"/>
            <w:bottom w:val="none" w:sz="0" w:space="0" w:color="auto"/>
            <w:right w:val="none" w:sz="0" w:space="0" w:color="auto"/>
          </w:divBdr>
        </w:div>
        <w:div w:id="2046951619">
          <w:marLeft w:val="0"/>
          <w:marRight w:val="0"/>
          <w:marTop w:val="0"/>
          <w:marBottom w:val="0"/>
          <w:divBdr>
            <w:top w:val="none" w:sz="0" w:space="0" w:color="auto"/>
            <w:left w:val="none" w:sz="0" w:space="0" w:color="auto"/>
            <w:bottom w:val="none" w:sz="0" w:space="0" w:color="auto"/>
            <w:right w:val="none" w:sz="0" w:space="0" w:color="auto"/>
          </w:divBdr>
        </w:div>
        <w:div w:id="1174030182">
          <w:marLeft w:val="0"/>
          <w:marRight w:val="0"/>
          <w:marTop w:val="0"/>
          <w:marBottom w:val="0"/>
          <w:divBdr>
            <w:top w:val="none" w:sz="0" w:space="0" w:color="auto"/>
            <w:left w:val="none" w:sz="0" w:space="0" w:color="auto"/>
            <w:bottom w:val="none" w:sz="0" w:space="0" w:color="auto"/>
            <w:right w:val="none" w:sz="0" w:space="0" w:color="auto"/>
          </w:divBdr>
        </w:div>
        <w:div w:id="767653297">
          <w:marLeft w:val="0"/>
          <w:marRight w:val="0"/>
          <w:marTop w:val="0"/>
          <w:marBottom w:val="0"/>
          <w:divBdr>
            <w:top w:val="none" w:sz="0" w:space="0" w:color="auto"/>
            <w:left w:val="none" w:sz="0" w:space="0" w:color="auto"/>
            <w:bottom w:val="none" w:sz="0" w:space="0" w:color="auto"/>
            <w:right w:val="none" w:sz="0" w:space="0" w:color="auto"/>
          </w:divBdr>
        </w:div>
        <w:div w:id="874730720">
          <w:marLeft w:val="0"/>
          <w:marRight w:val="0"/>
          <w:marTop w:val="0"/>
          <w:marBottom w:val="0"/>
          <w:divBdr>
            <w:top w:val="none" w:sz="0" w:space="0" w:color="auto"/>
            <w:left w:val="none" w:sz="0" w:space="0" w:color="auto"/>
            <w:bottom w:val="none" w:sz="0" w:space="0" w:color="auto"/>
            <w:right w:val="none" w:sz="0" w:space="0" w:color="auto"/>
          </w:divBdr>
        </w:div>
        <w:div w:id="1128669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ilga.jermacane@fm.gov.lv" TargetMode="External"/><Relationship Id="rId3" Type="http://schemas.openxmlformats.org/officeDocument/2006/relationships/webSettings" Target="webSettings.xml"/><Relationship Id="rId7" Type="http://schemas.openxmlformats.org/officeDocument/2006/relationships/hyperlink" Target="http://eur-lex.europa.eu/eli/dir/1983/349/oj/?loca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dir/1978/660/oj/?locale=LV" TargetMode="External"/><Relationship Id="rId11" Type="http://schemas.openxmlformats.org/officeDocument/2006/relationships/theme" Target="theme/theme1.xml"/><Relationship Id="rId5" Type="http://schemas.openxmlformats.org/officeDocument/2006/relationships/hyperlink" Target="http://eur-lex.europa.eu/eli/dir/2006/43/oj/?locale=LV" TargetMode="External"/><Relationship Id="rId10" Type="http://schemas.openxmlformats.org/officeDocument/2006/relationships/fontTable" Target="fontTable.xml"/><Relationship Id="rId4" Type="http://schemas.openxmlformats.org/officeDocument/2006/relationships/hyperlink" Target="http://eur-lex.europa.eu/eli/dir/2013/34/oj/?locale=LV" TargetMode="External"/><Relationship Id="rId9" Type="http://schemas.openxmlformats.org/officeDocument/2006/relationships/hyperlink" Target="mailto:%20guna.feder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13377</Words>
  <Characters>7625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Alienware</dc:creator>
  <cp:keywords/>
  <dc:description/>
  <cp:lastModifiedBy>Elita Birjukovska</cp:lastModifiedBy>
  <cp:revision>2</cp:revision>
  <dcterms:created xsi:type="dcterms:W3CDTF">2021-06-01T07:54:00Z</dcterms:created>
  <dcterms:modified xsi:type="dcterms:W3CDTF">2021-06-01T07:54:00Z</dcterms:modified>
</cp:coreProperties>
</file>