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3.sadaļu papildināt ar 2026.gadam un turpmāk ik gadu plānoto un papildu nepieciešamo finansējumu 3.1.1.4.i. investīcijas un 3.1.1.7.i. investīcijas īstenošanai, kā arī svītrot 6.punktā norādīto, ka Ekonomikas ministrija 2025.gadā pieprasīs nepieciešamo finansējumu 17 486 208 euro apmērā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ar pašvaldību noslēgtu pilnvarojuma līgumu, kas atbilstoši Eiropas Komisijas lēmuma 4. pantam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16.12.2025. Eiropas Komisija ir pieņēmusi jaunu komercdarbības atbalsta regulējumu -  Komisijas lēmumu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kas atbilstoši tā 11. pantam stājas spēkā divdesmitajā dienā pēc tā publicēšanas Eiropas Savienības Oficiālajā Vēstnesī, lūdzam izvērtēt grozījumu veikšanas nepieciešamību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05.01.2026.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05.01.2026.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Atzinumi_25-TA-2548.docx</dc:title>
</cp:coreProperties>
</file>

<file path=docProps/custom.xml><?xml version="1.0" encoding="utf-8"?>
<Properties xmlns="http://schemas.openxmlformats.org/officeDocument/2006/custom-properties" xmlns:vt="http://schemas.openxmlformats.org/officeDocument/2006/docPropsVTypes"/>
</file>